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A7975E" w14:textId="07BE47F2" w:rsidR="00C0189A" w:rsidRPr="0099468A" w:rsidRDefault="00EB031E" w:rsidP="00A950EF">
      <w:pPr>
        <w:widowControl w:val="0"/>
        <w:spacing w:after="0" w:line="240" w:lineRule="auto"/>
        <w:jc w:val="right"/>
        <w:rPr>
          <w:rFonts w:ascii="Book Antiqua" w:hAnsi="Book Antiqua" w:cs="Book Antiqua"/>
          <w:snapToGrid w:val="0"/>
          <w:sz w:val="24"/>
          <w:szCs w:val="24"/>
        </w:rPr>
      </w:pPr>
      <w:bookmarkStart w:id="0" w:name="_Hlk63097951"/>
      <w:r>
        <w:rPr>
          <w:rFonts w:ascii="Book Antiqua" w:hAnsi="Book Antiqua" w:cs="Book Antiqua"/>
          <w:snapToGrid w:val="0"/>
          <w:sz w:val="24"/>
          <w:szCs w:val="24"/>
        </w:rPr>
        <w:t>1084</w:t>
      </w:r>
      <w:r w:rsidR="00C0189A" w:rsidRPr="0099468A">
        <w:rPr>
          <w:rFonts w:ascii="Book Antiqua" w:hAnsi="Book Antiqua" w:cs="Book Antiqua"/>
          <w:snapToGrid w:val="0"/>
          <w:sz w:val="24"/>
          <w:szCs w:val="24"/>
        </w:rPr>
        <w:t>-PLA-</w:t>
      </w:r>
      <w:r w:rsidR="00A950EF" w:rsidRPr="0099468A">
        <w:rPr>
          <w:rFonts w:ascii="Book Antiqua" w:hAnsi="Book Antiqua" w:cs="Book Antiqua"/>
          <w:snapToGrid w:val="0"/>
          <w:sz w:val="24"/>
          <w:szCs w:val="24"/>
        </w:rPr>
        <w:t>MI</w:t>
      </w:r>
      <w:r w:rsidR="00C0189A" w:rsidRPr="0099468A">
        <w:rPr>
          <w:rFonts w:ascii="Book Antiqua" w:hAnsi="Book Antiqua" w:cs="Book Antiqua"/>
          <w:snapToGrid w:val="0"/>
          <w:sz w:val="24"/>
          <w:szCs w:val="24"/>
        </w:rPr>
        <w:t>-202</w:t>
      </w:r>
      <w:r w:rsidR="00A950EF" w:rsidRPr="0099468A">
        <w:rPr>
          <w:rFonts w:ascii="Book Antiqua" w:hAnsi="Book Antiqua" w:cs="Book Antiqua"/>
          <w:snapToGrid w:val="0"/>
          <w:sz w:val="24"/>
          <w:szCs w:val="24"/>
        </w:rPr>
        <w:t>1</w:t>
      </w:r>
    </w:p>
    <w:p w14:paraId="3D66C3B8" w14:textId="273D0058" w:rsidR="00C0189A" w:rsidRPr="0099468A" w:rsidRDefault="00C0189A" w:rsidP="0099468A">
      <w:pPr>
        <w:spacing w:after="0" w:line="240" w:lineRule="auto"/>
        <w:jc w:val="right"/>
        <w:rPr>
          <w:rFonts w:ascii="Book Antiqua" w:hAnsi="Book Antiqua" w:cstheme="minorHAnsi"/>
          <w:sz w:val="24"/>
          <w:szCs w:val="24"/>
        </w:rPr>
      </w:pPr>
      <w:r w:rsidRPr="0099468A">
        <w:rPr>
          <w:rFonts w:ascii="Book Antiqua" w:hAnsi="Book Antiqua" w:cs="Book Antiqua"/>
          <w:sz w:val="24"/>
          <w:szCs w:val="24"/>
        </w:rPr>
        <w:t>Ref. SICE:</w:t>
      </w:r>
      <w:r w:rsidR="0099468A" w:rsidRPr="0099468A">
        <w:rPr>
          <w:rFonts w:ascii="Book Antiqua" w:hAnsi="Book Antiqua" w:cs="Book Antiqua"/>
          <w:sz w:val="24"/>
          <w:szCs w:val="24"/>
        </w:rPr>
        <w:t xml:space="preserve"> </w:t>
      </w:r>
      <w:r w:rsidR="009479C1" w:rsidRPr="0099468A">
        <w:rPr>
          <w:rFonts w:ascii="Book Antiqua" w:hAnsi="Book Antiqua" w:cs="Book Antiqua"/>
          <w:color w:val="000000" w:themeColor="text1"/>
          <w:sz w:val="24"/>
          <w:szCs w:val="24"/>
        </w:rPr>
        <w:t>84-18</w:t>
      </w:r>
    </w:p>
    <w:p w14:paraId="0A7B9721" w14:textId="77777777" w:rsidR="00C0189A" w:rsidRPr="0099468A" w:rsidRDefault="00C0189A" w:rsidP="00A950EF">
      <w:pPr>
        <w:widowControl w:val="0"/>
        <w:spacing w:after="0" w:line="240" w:lineRule="auto"/>
        <w:rPr>
          <w:rFonts w:ascii="Book Antiqua" w:hAnsi="Book Antiqua" w:cs="Book Antiqua"/>
          <w:snapToGrid w:val="0"/>
          <w:sz w:val="24"/>
          <w:szCs w:val="24"/>
        </w:rPr>
      </w:pPr>
    </w:p>
    <w:p w14:paraId="426176E0" w14:textId="5CEBCD54" w:rsidR="00C0189A" w:rsidRPr="0099468A" w:rsidRDefault="00CD2597" w:rsidP="00A950EF">
      <w:pPr>
        <w:widowControl w:val="0"/>
        <w:spacing w:after="0" w:line="240" w:lineRule="auto"/>
        <w:rPr>
          <w:rFonts w:ascii="Book Antiqua" w:hAnsi="Book Antiqua" w:cs="Book Antiqua"/>
          <w:snapToGrid w:val="0"/>
          <w:sz w:val="24"/>
          <w:szCs w:val="24"/>
        </w:rPr>
      </w:pPr>
      <w:r>
        <w:rPr>
          <w:rFonts w:ascii="Book Antiqua" w:hAnsi="Book Antiqua" w:cs="Book Antiqua"/>
          <w:snapToGrid w:val="0"/>
          <w:sz w:val="24"/>
          <w:szCs w:val="24"/>
        </w:rPr>
        <w:t>23</w:t>
      </w:r>
      <w:r w:rsidR="005F51E6" w:rsidRPr="0099468A">
        <w:rPr>
          <w:rFonts w:ascii="Book Antiqua" w:hAnsi="Book Antiqua" w:cs="Book Antiqua"/>
          <w:snapToGrid w:val="0"/>
          <w:sz w:val="24"/>
          <w:szCs w:val="24"/>
        </w:rPr>
        <w:t xml:space="preserve"> </w:t>
      </w:r>
      <w:r w:rsidR="00C0189A" w:rsidRPr="0099468A">
        <w:rPr>
          <w:rFonts w:ascii="Book Antiqua" w:hAnsi="Book Antiqua" w:cs="Book Antiqua"/>
          <w:snapToGrid w:val="0"/>
          <w:sz w:val="24"/>
          <w:szCs w:val="24"/>
        </w:rPr>
        <w:t xml:space="preserve">de </w:t>
      </w:r>
      <w:r>
        <w:rPr>
          <w:rFonts w:ascii="Book Antiqua" w:hAnsi="Book Antiqua" w:cs="Book Antiqua"/>
          <w:snapToGrid w:val="0"/>
          <w:sz w:val="24"/>
          <w:szCs w:val="24"/>
        </w:rPr>
        <w:t xml:space="preserve">Setiembre </w:t>
      </w:r>
      <w:r w:rsidR="00A950EF" w:rsidRPr="0099468A">
        <w:rPr>
          <w:rFonts w:ascii="Book Antiqua" w:hAnsi="Book Antiqua" w:cs="Book Antiqua"/>
          <w:snapToGrid w:val="0"/>
          <w:sz w:val="24"/>
          <w:szCs w:val="24"/>
        </w:rPr>
        <w:t>de</w:t>
      </w:r>
      <w:r w:rsidR="00C0189A" w:rsidRPr="0099468A">
        <w:rPr>
          <w:rFonts w:ascii="Book Antiqua" w:hAnsi="Book Antiqua" w:cs="Book Antiqua"/>
          <w:snapToGrid w:val="0"/>
          <w:sz w:val="24"/>
          <w:szCs w:val="24"/>
        </w:rPr>
        <w:t xml:space="preserve"> 202</w:t>
      </w:r>
      <w:r w:rsidR="008E169E" w:rsidRPr="0099468A">
        <w:rPr>
          <w:rFonts w:ascii="Book Antiqua" w:hAnsi="Book Antiqua" w:cs="Book Antiqua"/>
          <w:snapToGrid w:val="0"/>
          <w:sz w:val="24"/>
          <w:szCs w:val="24"/>
        </w:rPr>
        <w:t>1</w:t>
      </w:r>
    </w:p>
    <w:p w14:paraId="301A3775" w14:textId="0EA421DA" w:rsidR="00C0189A" w:rsidRDefault="00C0189A" w:rsidP="00A950EF">
      <w:pPr>
        <w:widowControl w:val="0"/>
        <w:spacing w:after="0" w:line="240" w:lineRule="auto"/>
        <w:rPr>
          <w:rFonts w:ascii="Book Antiqua" w:hAnsi="Book Antiqua" w:cs="Book Antiqua"/>
          <w:snapToGrid w:val="0"/>
          <w:sz w:val="24"/>
          <w:szCs w:val="24"/>
        </w:rPr>
      </w:pPr>
    </w:p>
    <w:p w14:paraId="49B357A0" w14:textId="29DAD32D" w:rsidR="000336B5" w:rsidRDefault="000336B5" w:rsidP="00A950EF">
      <w:pPr>
        <w:widowControl w:val="0"/>
        <w:spacing w:after="0" w:line="240" w:lineRule="auto"/>
        <w:rPr>
          <w:rFonts w:ascii="Book Antiqua" w:hAnsi="Book Antiqua" w:cs="Book Antiqua"/>
          <w:snapToGrid w:val="0"/>
          <w:sz w:val="24"/>
          <w:szCs w:val="24"/>
        </w:rPr>
      </w:pPr>
    </w:p>
    <w:p w14:paraId="4AE42B08" w14:textId="77777777" w:rsidR="00EB031E" w:rsidRPr="0099468A" w:rsidRDefault="00EB031E" w:rsidP="00A950EF">
      <w:pPr>
        <w:widowControl w:val="0"/>
        <w:spacing w:after="0" w:line="240" w:lineRule="auto"/>
        <w:rPr>
          <w:rFonts w:ascii="Book Antiqua" w:hAnsi="Book Antiqua" w:cs="Book Antiqua"/>
          <w:snapToGrid w:val="0"/>
          <w:sz w:val="24"/>
          <w:szCs w:val="24"/>
        </w:rPr>
      </w:pPr>
    </w:p>
    <w:p w14:paraId="61889D34" w14:textId="77777777" w:rsidR="005F51E6" w:rsidRPr="00CD2597" w:rsidRDefault="005F51E6" w:rsidP="00CD2597">
      <w:pPr>
        <w:widowControl w:val="0"/>
        <w:spacing w:after="0" w:line="240" w:lineRule="auto"/>
        <w:rPr>
          <w:rFonts w:ascii="Book Antiqua" w:hAnsi="Book Antiqua" w:cs="Book Antiqua"/>
          <w:snapToGrid w:val="0"/>
          <w:color w:val="000000" w:themeColor="text1"/>
          <w:sz w:val="24"/>
          <w:szCs w:val="24"/>
        </w:rPr>
      </w:pPr>
      <w:r w:rsidRPr="00CD2597">
        <w:rPr>
          <w:rFonts w:ascii="Book Antiqua" w:hAnsi="Book Antiqua" w:cs="Book Antiqua"/>
          <w:snapToGrid w:val="0"/>
          <w:color w:val="000000" w:themeColor="text1"/>
          <w:sz w:val="24"/>
          <w:szCs w:val="24"/>
        </w:rPr>
        <w:t xml:space="preserve">Licenciada </w:t>
      </w:r>
    </w:p>
    <w:p w14:paraId="5103B140" w14:textId="77777777" w:rsidR="005F51E6" w:rsidRPr="00CD2597" w:rsidRDefault="005F51E6" w:rsidP="00CD2597">
      <w:pPr>
        <w:pStyle w:val="Textoindependiente2"/>
        <w:spacing w:after="0" w:line="240" w:lineRule="auto"/>
        <w:rPr>
          <w:rFonts w:ascii="Book Antiqua" w:hAnsi="Book Antiqua" w:cs="Book Antiqua"/>
          <w:snapToGrid w:val="0"/>
          <w:color w:val="000000" w:themeColor="text1"/>
          <w:sz w:val="24"/>
          <w:szCs w:val="24"/>
        </w:rPr>
      </w:pPr>
      <w:r w:rsidRPr="00CD2597">
        <w:rPr>
          <w:rFonts w:ascii="Book Antiqua" w:hAnsi="Book Antiqua" w:cs="Book Antiqua"/>
          <w:snapToGrid w:val="0"/>
          <w:color w:val="000000" w:themeColor="text1"/>
          <w:sz w:val="24"/>
          <w:szCs w:val="24"/>
        </w:rPr>
        <w:t xml:space="preserve">Silvia Navarro Romanini  </w:t>
      </w:r>
    </w:p>
    <w:p w14:paraId="15B3CA88" w14:textId="77777777" w:rsidR="005F51E6" w:rsidRPr="00CD2597" w:rsidRDefault="005F51E6" w:rsidP="00CD2597">
      <w:pPr>
        <w:pStyle w:val="Textoindependiente2"/>
        <w:spacing w:after="0" w:line="240" w:lineRule="auto"/>
        <w:rPr>
          <w:rFonts w:ascii="Book Antiqua" w:hAnsi="Book Antiqua" w:cs="Book Antiqua"/>
          <w:snapToGrid w:val="0"/>
          <w:color w:val="000000" w:themeColor="text1"/>
          <w:sz w:val="24"/>
          <w:szCs w:val="24"/>
        </w:rPr>
      </w:pPr>
      <w:r w:rsidRPr="00CD2597">
        <w:rPr>
          <w:rFonts w:ascii="Book Antiqua" w:hAnsi="Book Antiqua" w:cs="Book Antiqua"/>
          <w:snapToGrid w:val="0"/>
          <w:color w:val="000000" w:themeColor="text1"/>
          <w:sz w:val="24"/>
          <w:szCs w:val="24"/>
        </w:rPr>
        <w:t xml:space="preserve">Secretaría General de la Corte </w:t>
      </w:r>
    </w:p>
    <w:p w14:paraId="28DDDC7F" w14:textId="6260C309" w:rsidR="00A950EF" w:rsidRPr="0099468A" w:rsidRDefault="00A950EF" w:rsidP="00A950EF">
      <w:pPr>
        <w:spacing w:after="0" w:line="240" w:lineRule="auto"/>
        <w:jc w:val="both"/>
        <w:rPr>
          <w:rFonts w:ascii="Book Antiqua" w:hAnsi="Book Antiqua" w:cs="Book Antiqua"/>
          <w:sz w:val="24"/>
          <w:szCs w:val="24"/>
        </w:rPr>
      </w:pPr>
    </w:p>
    <w:p w14:paraId="35271460" w14:textId="77777777" w:rsidR="00A950EF" w:rsidRPr="0099468A" w:rsidRDefault="00A950EF" w:rsidP="00A950EF">
      <w:pPr>
        <w:spacing w:after="0" w:line="240" w:lineRule="auto"/>
        <w:jc w:val="both"/>
        <w:rPr>
          <w:rFonts w:ascii="Book Antiqua" w:hAnsi="Book Antiqua" w:cs="Book Antiqua"/>
          <w:sz w:val="24"/>
          <w:szCs w:val="24"/>
        </w:rPr>
      </w:pPr>
    </w:p>
    <w:p w14:paraId="3A632049" w14:textId="5608D9DC" w:rsidR="00C0189A" w:rsidRPr="0099468A" w:rsidRDefault="00C0189A" w:rsidP="00A950EF">
      <w:pPr>
        <w:widowControl w:val="0"/>
        <w:spacing w:after="0" w:line="240" w:lineRule="auto"/>
        <w:rPr>
          <w:rFonts w:ascii="Book Antiqua" w:hAnsi="Book Antiqua" w:cs="Book Antiqua"/>
          <w:snapToGrid w:val="0"/>
          <w:color w:val="000000" w:themeColor="text1"/>
          <w:sz w:val="24"/>
          <w:szCs w:val="24"/>
        </w:rPr>
      </w:pPr>
      <w:r w:rsidRPr="0099468A">
        <w:rPr>
          <w:rFonts w:ascii="Book Antiqua" w:hAnsi="Book Antiqua" w:cs="Book Antiqua"/>
          <w:snapToGrid w:val="0"/>
          <w:color w:val="000000" w:themeColor="text1"/>
          <w:sz w:val="24"/>
          <w:szCs w:val="24"/>
        </w:rPr>
        <w:t>Estimada señora:</w:t>
      </w:r>
    </w:p>
    <w:p w14:paraId="07DA6784" w14:textId="77777777" w:rsidR="00C0189A" w:rsidRPr="0099468A" w:rsidRDefault="00C0189A" w:rsidP="00A950EF">
      <w:pPr>
        <w:widowControl w:val="0"/>
        <w:spacing w:after="0" w:line="240" w:lineRule="auto"/>
        <w:jc w:val="both"/>
        <w:rPr>
          <w:rFonts w:ascii="Book Antiqua" w:hAnsi="Book Antiqua" w:cs="Book Antiqua"/>
          <w:snapToGrid w:val="0"/>
          <w:sz w:val="24"/>
          <w:szCs w:val="24"/>
        </w:rPr>
      </w:pPr>
    </w:p>
    <w:p w14:paraId="681D5350" w14:textId="1E2D3EEB" w:rsidR="004B5C85" w:rsidRPr="0099468A" w:rsidRDefault="00C0189A" w:rsidP="00A950EF">
      <w:pPr>
        <w:spacing w:after="0" w:line="240" w:lineRule="auto"/>
        <w:ind w:firstLine="567"/>
        <w:jc w:val="both"/>
        <w:rPr>
          <w:rFonts w:ascii="Book Antiqua" w:hAnsi="Book Antiqua" w:cs="Book Antiqua"/>
          <w:sz w:val="24"/>
          <w:szCs w:val="24"/>
        </w:rPr>
      </w:pPr>
      <w:r w:rsidRPr="0099468A">
        <w:rPr>
          <w:rFonts w:ascii="Book Antiqua" w:hAnsi="Book Antiqua" w:cs="Book Antiqua"/>
          <w:sz w:val="24"/>
          <w:szCs w:val="24"/>
        </w:rPr>
        <w:t xml:space="preserve">En atención </w:t>
      </w:r>
      <w:r w:rsidR="002F70BE" w:rsidRPr="0099468A">
        <w:rPr>
          <w:rFonts w:ascii="Book Antiqua" w:hAnsi="Book Antiqua" w:cs="Book Antiqua"/>
          <w:sz w:val="24"/>
          <w:szCs w:val="24"/>
        </w:rPr>
        <w:t>a los</w:t>
      </w:r>
      <w:r w:rsidRPr="0099468A">
        <w:rPr>
          <w:rFonts w:ascii="Book Antiqua" w:hAnsi="Book Antiqua" w:cs="Book Antiqua"/>
          <w:sz w:val="24"/>
          <w:szCs w:val="24"/>
        </w:rPr>
        <w:t xml:space="preserve"> oficio</w:t>
      </w:r>
      <w:r w:rsidR="002F70BE" w:rsidRPr="0099468A">
        <w:rPr>
          <w:rFonts w:ascii="Book Antiqua" w:hAnsi="Book Antiqua" w:cs="Book Antiqua"/>
          <w:sz w:val="24"/>
          <w:szCs w:val="24"/>
        </w:rPr>
        <w:t>s</w:t>
      </w:r>
      <w:r w:rsidR="004B5C85" w:rsidRPr="0099468A">
        <w:rPr>
          <w:rFonts w:ascii="Book Antiqua" w:hAnsi="Book Antiqua" w:cs="Book Antiqua"/>
          <w:sz w:val="24"/>
          <w:szCs w:val="24"/>
        </w:rPr>
        <w:t xml:space="preserve">: </w:t>
      </w:r>
    </w:p>
    <w:p w14:paraId="48D36D66" w14:textId="77777777" w:rsidR="00A950EF" w:rsidRPr="0099468A" w:rsidRDefault="00A950EF" w:rsidP="00A950EF">
      <w:pPr>
        <w:spacing w:after="0" w:line="240" w:lineRule="auto"/>
        <w:jc w:val="both"/>
        <w:rPr>
          <w:rFonts w:ascii="Book Antiqua" w:hAnsi="Book Antiqua" w:cs="Book Antiqua"/>
          <w:sz w:val="24"/>
          <w:szCs w:val="24"/>
        </w:rPr>
      </w:pPr>
    </w:p>
    <w:p w14:paraId="758E355B" w14:textId="777FAAAC" w:rsidR="004B5C85" w:rsidRDefault="000804A6" w:rsidP="009C259C">
      <w:pPr>
        <w:pStyle w:val="Prrafodelista"/>
        <w:numPr>
          <w:ilvl w:val="0"/>
          <w:numId w:val="20"/>
        </w:numPr>
        <w:spacing w:after="0" w:line="240" w:lineRule="auto"/>
        <w:ind w:left="851" w:hanging="284"/>
        <w:jc w:val="both"/>
        <w:rPr>
          <w:rFonts w:ascii="Book Antiqua" w:hAnsi="Book Antiqua" w:cs="Book Antiqua"/>
          <w:sz w:val="24"/>
          <w:szCs w:val="24"/>
        </w:rPr>
      </w:pPr>
      <w:r w:rsidRPr="0099468A">
        <w:rPr>
          <w:rFonts w:ascii="Book Antiqua" w:hAnsi="Book Antiqua" w:cs="Book Antiqua"/>
          <w:b/>
          <w:bCs/>
          <w:sz w:val="24"/>
          <w:szCs w:val="24"/>
        </w:rPr>
        <w:t>496-18</w:t>
      </w:r>
      <w:r w:rsidR="00C0189A" w:rsidRPr="0099468A">
        <w:rPr>
          <w:rFonts w:ascii="Book Antiqua" w:hAnsi="Book Antiqua" w:cs="Book Antiqua"/>
          <w:sz w:val="24"/>
          <w:szCs w:val="24"/>
        </w:rPr>
        <w:t>, donde se transcribe el acuerdo tomado por el Consejo Superior</w:t>
      </w:r>
      <w:r w:rsidR="0078712B" w:rsidRPr="0099468A">
        <w:rPr>
          <w:rFonts w:ascii="Book Antiqua" w:hAnsi="Book Antiqua" w:cs="Book Antiqua"/>
          <w:sz w:val="24"/>
          <w:szCs w:val="24"/>
        </w:rPr>
        <w:t xml:space="preserve"> del Poder Judicial</w:t>
      </w:r>
      <w:r w:rsidR="00215D3B" w:rsidRPr="0099468A">
        <w:rPr>
          <w:rFonts w:ascii="Book Antiqua" w:hAnsi="Book Antiqua" w:cs="Book Antiqua"/>
          <w:sz w:val="24"/>
          <w:szCs w:val="24"/>
        </w:rPr>
        <w:t>, en</w:t>
      </w:r>
      <w:r w:rsidR="00C0189A" w:rsidRPr="0099468A" w:rsidDel="00215D3B">
        <w:rPr>
          <w:rFonts w:ascii="Book Antiqua" w:hAnsi="Book Antiqua" w:cs="Book Antiqua"/>
          <w:sz w:val="24"/>
          <w:szCs w:val="24"/>
        </w:rPr>
        <w:t xml:space="preserve"> </w:t>
      </w:r>
      <w:r w:rsidR="00215D3B" w:rsidRPr="0099468A">
        <w:rPr>
          <w:rFonts w:ascii="Book Antiqua" w:hAnsi="Book Antiqua" w:cs="Book Antiqua"/>
          <w:sz w:val="24"/>
          <w:szCs w:val="24"/>
        </w:rPr>
        <w:t>la</w:t>
      </w:r>
      <w:r w:rsidR="00C0189A" w:rsidRPr="0099468A">
        <w:rPr>
          <w:rFonts w:ascii="Book Antiqua" w:hAnsi="Book Antiqua" w:cs="Book Antiqua"/>
          <w:sz w:val="24"/>
          <w:szCs w:val="24"/>
        </w:rPr>
        <w:t xml:space="preserve"> sesión celebrada el </w:t>
      </w:r>
      <w:r w:rsidRPr="0099468A">
        <w:rPr>
          <w:rFonts w:ascii="Book Antiqua" w:hAnsi="Book Antiqua" w:cs="Book Antiqua"/>
          <w:sz w:val="24"/>
          <w:szCs w:val="24"/>
        </w:rPr>
        <w:t>109-17 celebrada el 5 de diciembre de a</w:t>
      </w:r>
      <w:r w:rsidR="00A950EF" w:rsidRPr="0099468A">
        <w:rPr>
          <w:rFonts w:ascii="Book Antiqua" w:hAnsi="Book Antiqua" w:cs="Book Antiqua"/>
          <w:sz w:val="24"/>
          <w:szCs w:val="24"/>
        </w:rPr>
        <w:t>ñ</w:t>
      </w:r>
      <w:r w:rsidRPr="0099468A">
        <w:rPr>
          <w:rFonts w:ascii="Book Antiqua" w:hAnsi="Book Antiqua" w:cs="Book Antiqua"/>
          <w:sz w:val="24"/>
          <w:szCs w:val="24"/>
        </w:rPr>
        <w:t>o 2017, artículo LXXII</w:t>
      </w:r>
      <w:r w:rsidR="000336B5">
        <w:rPr>
          <w:rFonts w:ascii="Book Antiqua" w:hAnsi="Book Antiqua" w:cs="Book Antiqua"/>
          <w:sz w:val="24"/>
          <w:szCs w:val="24"/>
        </w:rPr>
        <w:t>,</w:t>
      </w:r>
    </w:p>
    <w:p w14:paraId="77C3865C" w14:textId="77777777" w:rsidR="006E6CBA" w:rsidRPr="0099468A" w:rsidRDefault="006E6CBA" w:rsidP="006E6CBA">
      <w:pPr>
        <w:pStyle w:val="Prrafodelista"/>
        <w:spacing w:after="0" w:line="240" w:lineRule="auto"/>
        <w:ind w:left="851"/>
        <w:jc w:val="both"/>
        <w:rPr>
          <w:rFonts w:ascii="Book Antiqua" w:hAnsi="Book Antiqua" w:cs="Book Antiqua"/>
          <w:sz w:val="24"/>
          <w:szCs w:val="24"/>
        </w:rPr>
      </w:pPr>
    </w:p>
    <w:p w14:paraId="32475154" w14:textId="23067D9F" w:rsidR="004B5C85" w:rsidRDefault="0007468F" w:rsidP="009C259C">
      <w:pPr>
        <w:pStyle w:val="Prrafodelista"/>
        <w:numPr>
          <w:ilvl w:val="0"/>
          <w:numId w:val="20"/>
        </w:numPr>
        <w:spacing w:after="0" w:line="240" w:lineRule="auto"/>
        <w:ind w:left="851" w:hanging="284"/>
        <w:jc w:val="both"/>
        <w:rPr>
          <w:rFonts w:ascii="Book Antiqua" w:hAnsi="Book Antiqua" w:cs="Book Antiqua"/>
          <w:sz w:val="24"/>
          <w:szCs w:val="24"/>
        </w:rPr>
      </w:pPr>
      <w:r w:rsidRPr="0099468A">
        <w:rPr>
          <w:rFonts w:ascii="Book Antiqua" w:hAnsi="Book Antiqua" w:cs="Book Antiqua"/>
          <w:b/>
          <w:bCs/>
          <w:sz w:val="24"/>
          <w:szCs w:val="24"/>
        </w:rPr>
        <w:t>1300-18</w:t>
      </w:r>
      <w:r w:rsidR="002F70BE" w:rsidRPr="0099468A">
        <w:rPr>
          <w:rFonts w:ascii="Book Antiqua" w:hAnsi="Book Antiqua" w:cs="Book Antiqua"/>
          <w:b/>
          <w:bCs/>
          <w:sz w:val="24"/>
          <w:szCs w:val="24"/>
        </w:rPr>
        <w:t>,</w:t>
      </w:r>
      <w:r w:rsidR="002F70BE" w:rsidRPr="0099468A">
        <w:rPr>
          <w:rFonts w:ascii="Book Antiqua" w:hAnsi="Book Antiqua" w:cs="Book Antiqua"/>
          <w:sz w:val="24"/>
          <w:szCs w:val="24"/>
        </w:rPr>
        <w:t xml:space="preserve"> </w:t>
      </w:r>
      <w:r w:rsidR="00586C8E" w:rsidRPr="0099468A">
        <w:rPr>
          <w:rFonts w:ascii="Book Antiqua" w:hAnsi="Book Antiqua" w:cs="Book Antiqua"/>
          <w:sz w:val="24"/>
          <w:szCs w:val="24"/>
        </w:rPr>
        <w:t xml:space="preserve">donde se transcribe el acuerdo tomado por el Consejo Superior del Poder Judicial, en </w:t>
      </w:r>
      <w:r w:rsidRPr="0099468A">
        <w:rPr>
          <w:rFonts w:ascii="Book Antiqua" w:hAnsi="Book Antiqua" w:cs="Book Antiqua"/>
          <w:sz w:val="24"/>
          <w:szCs w:val="24"/>
        </w:rPr>
        <w:t xml:space="preserve">la </w:t>
      </w:r>
      <w:r w:rsidR="00CA19C4" w:rsidRPr="0099468A">
        <w:rPr>
          <w:rFonts w:ascii="Book Antiqua" w:hAnsi="Book Antiqua" w:cs="Book Antiqua"/>
          <w:sz w:val="24"/>
          <w:szCs w:val="24"/>
        </w:rPr>
        <w:t>sesión</w:t>
      </w:r>
      <w:r w:rsidRPr="0099468A">
        <w:rPr>
          <w:rFonts w:ascii="Book Antiqua" w:hAnsi="Book Antiqua" w:cs="Book Antiqua"/>
          <w:sz w:val="24"/>
          <w:szCs w:val="24"/>
        </w:rPr>
        <w:t xml:space="preserve"> 9-18 celebrada el 1 de febrero del 2018, artículo LXI,</w:t>
      </w:r>
    </w:p>
    <w:p w14:paraId="4B0DFC86" w14:textId="77777777" w:rsidR="006E6CBA" w:rsidRPr="006E6CBA" w:rsidRDefault="006E6CBA" w:rsidP="006E6CBA">
      <w:pPr>
        <w:spacing w:after="0" w:line="240" w:lineRule="auto"/>
        <w:jc w:val="both"/>
        <w:rPr>
          <w:rFonts w:ascii="Book Antiqua" w:hAnsi="Book Antiqua" w:cs="Book Antiqua"/>
          <w:sz w:val="24"/>
          <w:szCs w:val="24"/>
        </w:rPr>
      </w:pPr>
    </w:p>
    <w:p w14:paraId="4AC951F6" w14:textId="3E5558A5" w:rsidR="004B5C85" w:rsidRDefault="00487563" w:rsidP="009C259C">
      <w:pPr>
        <w:pStyle w:val="Prrafodelista"/>
        <w:numPr>
          <w:ilvl w:val="0"/>
          <w:numId w:val="20"/>
        </w:numPr>
        <w:spacing w:after="0" w:line="240" w:lineRule="auto"/>
        <w:ind w:left="851" w:hanging="284"/>
        <w:jc w:val="both"/>
        <w:rPr>
          <w:rFonts w:ascii="Book Antiqua" w:hAnsi="Book Antiqua" w:cs="Book Antiqua"/>
          <w:sz w:val="24"/>
          <w:szCs w:val="24"/>
        </w:rPr>
      </w:pPr>
      <w:r w:rsidRPr="0099468A">
        <w:rPr>
          <w:rFonts w:ascii="Book Antiqua" w:hAnsi="Book Antiqua" w:cs="Book Antiqua"/>
          <w:b/>
          <w:bCs/>
          <w:sz w:val="24"/>
          <w:szCs w:val="24"/>
        </w:rPr>
        <w:t>6634-18</w:t>
      </w:r>
      <w:r w:rsidR="004B5C85" w:rsidRPr="0099468A">
        <w:rPr>
          <w:rFonts w:ascii="Book Antiqua" w:hAnsi="Book Antiqua" w:cs="Book Antiqua"/>
          <w:b/>
          <w:bCs/>
          <w:sz w:val="24"/>
          <w:szCs w:val="24"/>
        </w:rPr>
        <w:t xml:space="preserve">, </w:t>
      </w:r>
      <w:r w:rsidR="00586C8E" w:rsidRPr="0099468A">
        <w:rPr>
          <w:rFonts w:ascii="Book Antiqua" w:hAnsi="Book Antiqua" w:cs="Book Antiqua"/>
          <w:sz w:val="24"/>
          <w:szCs w:val="24"/>
        </w:rPr>
        <w:t xml:space="preserve">donde se transcribe el acuerdo tomado por el Consejo Superior del Poder Judicial, </w:t>
      </w:r>
      <w:r w:rsidRPr="0099468A" w:rsidDel="00586C8E">
        <w:rPr>
          <w:rFonts w:ascii="Book Antiqua" w:hAnsi="Book Antiqua" w:cs="Book Antiqua"/>
          <w:sz w:val="24"/>
          <w:szCs w:val="24"/>
        </w:rPr>
        <w:t>en</w:t>
      </w:r>
      <w:r w:rsidRPr="0099468A">
        <w:rPr>
          <w:rFonts w:ascii="Book Antiqua" w:hAnsi="Book Antiqua" w:cs="Book Antiqua"/>
          <w:sz w:val="24"/>
          <w:szCs w:val="24"/>
        </w:rPr>
        <w:t xml:space="preserve"> la sesión 58-18 celebrada el 28 de junio del 2018, artículo L</w:t>
      </w:r>
      <w:r w:rsidR="004B4B64" w:rsidRPr="0099468A">
        <w:rPr>
          <w:rFonts w:ascii="Book Antiqua" w:hAnsi="Book Antiqua" w:cs="Book Antiqua"/>
          <w:sz w:val="24"/>
          <w:szCs w:val="24"/>
        </w:rPr>
        <w:t xml:space="preserve">, </w:t>
      </w:r>
    </w:p>
    <w:p w14:paraId="6B367BE5" w14:textId="77777777" w:rsidR="006E6CBA" w:rsidRPr="006E6CBA" w:rsidRDefault="006E6CBA" w:rsidP="006E6CBA">
      <w:pPr>
        <w:spacing w:after="0" w:line="240" w:lineRule="auto"/>
        <w:jc w:val="both"/>
        <w:rPr>
          <w:rFonts w:ascii="Book Antiqua" w:hAnsi="Book Antiqua" w:cs="Book Antiqua"/>
          <w:sz w:val="24"/>
          <w:szCs w:val="24"/>
        </w:rPr>
      </w:pPr>
    </w:p>
    <w:p w14:paraId="266808B4" w14:textId="676A4CE3" w:rsidR="004B5C85" w:rsidRDefault="004B4B64" w:rsidP="009C259C">
      <w:pPr>
        <w:pStyle w:val="Prrafodelista"/>
        <w:numPr>
          <w:ilvl w:val="0"/>
          <w:numId w:val="20"/>
        </w:numPr>
        <w:spacing w:after="0" w:line="240" w:lineRule="auto"/>
        <w:ind w:left="851" w:hanging="284"/>
        <w:jc w:val="both"/>
        <w:rPr>
          <w:rFonts w:ascii="Book Antiqua" w:hAnsi="Book Antiqua" w:cs="Book Antiqua"/>
          <w:sz w:val="24"/>
          <w:szCs w:val="24"/>
        </w:rPr>
      </w:pPr>
      <w:r w:rsidRPr="0099468A">
        <w:rPr>
          <w:rFonts w:ascii="Book Antiqua" w:hAnsi="Book Antiqua" w:cs="Book Antiqua"/>
          <w:b/>
          <w:bCs/>
          <w:sz w:val="24"/>
          <w:szCs w:val="24"/>
        </w:rPr>
        <w:t>10515-18</w:t>
      </w:r>
      <w:r w:rsidRPr="0099468A">
        <w:rPr>
          <w:rFonts w:ascii="Book Antiqua" w:hAnsi="Book Antiqua" w:cs="Book Antiqua"/>
          <w:sz w:val="24"/>
          <w:szCs w:val="24"/>
        </w:rPr>
        <w:t xml:space="preserve">: </w:t>
      </w:r>
      <w:r w:rsidR="00586C8E" w:rsidRPr="0099468A">
        <w:rPr>
          <w:rFonts w:ascii="Book Antiqua" w:hAnsi="Book Antiqua" w:cs="Book Antiqua"/>
          <w:sz w:val="24"/>
          <w:szCs w:val="24"/>
        </w:rPr>
        <w:t xml:space="preserve">donde se transcribe el acuerdo tomado por el Consejo Superior del Poder Judicial, en </w:t>
      </w:r>
      <w:r w:rsidRPr="0099468A">
        <w:rPr>
          <w:rFonts w:ascii="Book Antiqua" w:hAnsi="Book Antiqua" w:cs="Book Antiqua"/>
          <w:sz w:val="24"/>
          <w:szCs w:val="24"/>
        </w:rPr>
        <w:t xml:space="preserve">la sesión 84-18 celebrada el 25 de setiembre del 2018, artículo LXXIV, </w:t>
      </w:r>
    </w:p>
    <w:p w14:paraId="74148CA9" w14:textId="77777777" w:rsidR="006E6CBA" w:rsidRPr="006E6CBA" w:rsidRDefault="006E6CBA" w:rsidP="006E6CBA">
      <w:pPr>
        <w:spacing w:after="0" w:line="240" w:lineRule="auto"/>
        <w:jc w:val="both"/>
        <w:rPr>
          <w:rFonts w:ascii="Book Antiqua" w:hAnsi="Book Antiqua" w:cs="Book Antiqua"/>
          <w:sz w:val="24"/>
          <w:szCs w:val="24"/>
        </w:rPr>
      </w:pPr>
    </w:p>
    <w:p w14:paraId="51AE8739" w14:textId="67C66377" w:rsidR="006E6CBA" w:rsidRDefault="004B4B64" w:rsidP="006E6CBA">
      <w:pPr>
        <w:pStyle w:val="Prrafodelista"/>
        <w:numPr>
          <w:ilvl w:val="0"/>
          <w:numId w:val="20"/>
        </w:numPr>
        <w:spacing w:after="0" w:line="240" w:lineRule="auto"/>
        <w:ind w:left="851" w:hanging="284"/>
        <w:jc w:val="both"/>
        <w:rPr>
          <w:rFonts w:ascii="Book Antiqua" w:hAnsi="Book Antiqua" w:cs="Book Antiqua"/>
          <w:sz w:val="24"/>
          <w:szCs w:val="24"/>
        </w:rPr>
      </w:pPr>
      <w:r w:rsidRPr="0099468A">
        <w:rPr>
          <w:rFonts w:ascii="Book Antiqua" w:hAnsi="Book Antiqua" w:cs="Book Antiqua"/>
          <w:b/>
          <w:bCs/>
          <w:sz w:val="24"/>
          <w:szCs w:val="24"/>
        </w:rPr>
        <w:t>11240-17</w:t>
      </w:r>
      <w:r w:rsidRPr="0099468A">
        <w:rPr>
          <w:rFonts w:ascii="Book Antiqua" w:hAnsi="Book Antiqua" w:cs="Book Antiqua"/>
          <w:sz w:val="24"/>
          <w:szCs w:val="24"/>
        </w:rPr>
        <w:t xml:space="preserve">: </w:t>
      </w:r>
      <w:r w:rsidR="00586C8E" w:rsidRPr="0099468A">
        <w:rPr>
          <w:rFonts w:ascii="Book Antiqua" w:hAnsi="Book Antiqua" w:cs="Book Antiqua"/>
          <w:sz w:val="24"/>
          <w:szCs w:val="24"/>
        </w:rPr>
        <w:t xml:space="preserve">donde se transcribe el acuerdo tomado por el Consejo Superior del Poder Judicial, en </w:t>
      </w:r>
      <w:r w:rsidRPr="0099468A">
        <w:rPr>
          <w:rFonts w:ascii="Book Antiqua" w:hAnsi="Book Antiqua" w:cs="Book Antiqua"/>
          <w:sz w:val="24"/>
          <w:szCs w:val="24"/>
        </w:rPr>
        <w:t xml:space="preserve">la sesión 85-17 celebrada el 19 de setiembre del 2017, artículo LXXV, </w:t>
      </w:r>
    </w:p>
    <w:p w14:paraId="55AA4870" w14:textId="77777777" w:rsidR="006E6CBA" w:rsidRPr="006E6CBA" w:rsidRDefault="006E6CBA" w:rsidP="006E6CBA">
      <w:pPr>
        <w:pStyle w:val="Prrafodelista"/>
        <w:rPr>
          <w:rFonts w:ascii="Book Antiqua" w:hAnsi="Book Antiqua" w:cs="Book Antiqua"/>
          <w:sz w:val="24"/>
          <w:szCs w:val="24"/>
        </w:rPr>
      </w:pPr>
    </w:p>
    <w:p w14:paraId="40E2BE46" w14:textId="77777777" w:rsidR="006E6CBA" w:rsidRPr="006E6CBA" w:rsidRDefault="006E6CBA" w:rsidP="006E6CBA">
      <w:pPr>
        <w:pStyle w:val="Prrafodelista"/>
        <w:spacing w:after="0" w:line="240" w:lineRule="auto"/>
        <w:ind w:left="851"/>
        <w:jc w:val="both"/>
        <w:rPr>
          <w:rFonts w:ascii="Book Antiqua" w:hAnsi="Book Antiqua" w:cs="Book Antiqua"/>
          <w:sz w:val="24"/>
          <w:szCs w:val="24"/>
        </w:rPr>
      </w:pPr>
    </w:p>
    <w:p w14:paraId="11EAF3AB" w14:textId="5CC70743" w:rsidR="00536EDE" w:rsidRPr="006E6CBA" w:rsidRDefault="00536EDE" w:rsidP="009C259C">
      <w:pPr>
        <w:pStyle w:val="Prrafodelista"/>
        <w:numPr>
          <w:ilvl w:val="0"/>
          <w:numId w:val="20"/>
        </w:numPr>
        <w:spacing w:after="0" w:line="240" w:lineRule="auto"/>
        <w:ind w:left="851" w:hanging="284"/>
        <w:jc w:val="both"/>
        <w:rPr>
          <w:rFonts w:ascii="Book Antiqua" w:hAnsi="Book Antiqua" w:cs="Book Antiqua"/>
          <w:b/>
          <w:bCs/>
          <w:sz w:val="24"/>
          <w:szCs w:val="24"/>
        </w:rPr>
      </w:pPr>
      <w:r w:rsidRPr="0099468A">
        <w:rPr>
          <w:rFonts w:ascii="Book Antiqua" w:hAnsi="Book Antiqua" w:cs="Book Antiqua"/>
          <w:b/>
          <w:bCs/>
          <w:sz w:val="24"/>
          <w:szCs w:val="24"/>
        </w:rPr>
        <w:lastRenderedPageBreak/>
        <w:t xml:space="preserve">9159-19: </w:t>
      </w:r>
      <w:r w:rsidRPr="0099468A">
        <w:rPr>
          <w:rFonts w:ascii="Book Antiqua" w:hAnsi="Book Antiqua" w:cs="Book Antiqua"/>
          <w:sz w:val="24"/>
          <w:szCs w:val="24"/>
        </w:rPr>
        <w:t xml:space="preserve">donde se transcribe el acuerdo tomado por el Consejo Superior del Poder Judicial, en la sesión 73-19 celebrada el 20 de agosto del 2019, artículo XL, </w:t>
      </w:r>
    </w:p>
    <w:p w14:paraId="5A6E6D91" w14:textId="77777777" w:rsidR="006E6CBA" w:rsidRPr="0099468A" w:rsidRDefault="006E6CBA" w:rsidP="006E6CBA">
      <w:pPr>
        <w:pStyle w:val="Prrafodelista"/>
        <w:spacing w:after="0" w:line="240" w:lineRule="auto"/>
        <w:ind w:left="851"/>
        <w:jc w:val="both"/>
        <w:rPr>
          <w:rFonts w:ascii="Book Antiqua" w:hAnsi="Book Antiqua" w:cs="Book Antiqua"/>
          <w:b/>
          <w:bCs/>
          <w:sz w:val="24"/>
          <w:szCs w:val="24"/>
        </w:rPr>
      </w:pPr>
    </w:p>
    <w:p w14:paraId="185D342B" w14:textId="596E3C20" w:rsidR="004B5C85" w:rsidRDefault="004B4B64" w:rsidP="009C259C">
      <w:pPr>
        <w:pStyle w:val="Prrafodelista"/>
        <w:numPr>
          <w:ilvl w:val="0"/>
          <w:numId w:val="20"/>
        </w:numPr>
        <w:spacing w:after="0" w:line="240" w:lineRule="auto"/>
        <w:ind w:left="851" w:hanging="284"/>
        <w:jc w:val="both"/>
        <w:rPr>
          <w:rFonts w:ascii="Book Antiqua" w:hAnsi="Book Antiqua" w:cs="Book Antiqua"/>
          <w:sz w:val="24"/>
          <w:szCs w:val="24"/>
        </w:rPr>
      </w:pPr>
      <w:r w:rsidRPr="0099468A">
        <w:rPr>
          <w:rFonts w:ascii="Book Antiqua" w:hAnsi="Book Antiqua" w:cs="Book Antiqua"/>
          <w:b/>
          <w:bCs/>
          <w:sz w:val="24"/>
          <w:szCs w:val="24"/>
        </w:rPr>
        <w:t>2345-2020</w:t>
      </w:r>
      <w:r w:rsidRPr="0099468A">
        <w:rPr>
          <w:rFonts w:ascii="Book Antiqua" w:hAnsi="Book Antiqua" w:cs="Book Antiqua"/>
          <w:sz w:val="24"/>
          <w:szCs w:val="24"/>
        </w:rPr>
        <w:t xml:space="preserve">: </w:t>
      </w:r>
      <w:r w:rsidR="00586C8E" w:rsidRPr="0099468A">
        <w:rPr>
          <w:rFonts w:ascii="Book Antiqua" w:hAnsi="Book Antiqua" w:cs="Book Antiqua"/>
          <w:sz w:val="24"/>
          <w:szCs w:val="24"/>
        </w:rPr>
        <w:t xml:space="preserve">donde se transcribe el acuerdo tomado por el Consejo Superior del Poder Judicial, en </w:t>
      </w:r>
      <w:r w:rsidRPr="0099468A">
        <w:rPr>
          <w:rFonts w:ascii="Book Antiqua" w:hAnsi="Book Antiqua" w:cs="Book Antiqua"/>
          <w:sz w:val="24"/>
          <w:szCs w:val="24"/>
        </w:rPr>
        <w:t>la sesión 13-2020 celebrada el 18 de febrero del 2020, artículo XIV</w:t>
      </w:r>
      <w:r w:rsidR="002F70BE" w:rsidRPr="0099468A">
        <w:rPr>
          <w:rFonts w:ascii="Book Antiqua" w:hAnsi="Book Antiqua" w:cs="Book Antiqua"/>
          <w:sz w:val="24"/>
          <w:szCs w:val="24"/>
        </w:rPr>
        <w:t>,</w:t>
      </w:r>
    </w:p>
    <w:p w14:paraId="75057967" w14:textId="77777777" w:rsidR="006E6CBA" w:rsidRPr="006E6CBA" w:rsidRDefault="006E6CBA" w:rsidP="006E6CBA">
      <w:pPr>
        <w:spacing w:after="0" w:line="240" w:lineRule="auto"/>
        <w:jc w:val="both"/>
        <w:rPr>
          <w:rFonts w:ascii="Book Antiqua" w:hAnsi="Book Antiqua" w:cs="Book Antiqua"/>
          <w:sz w:val="24"/>
          <w:szCs w:val="24"/>
        </w:rPr>
      </w:pPr>
    </w:p>
    <w:p w14:paraId="3F8B01AA" w14:textId="7B36FA94" w:rsidR="00D92187" w:rsidRPr="0099468A" w:rsidRDefault="002B5D3D" w:rsidP="009C259C">
      <w:pPr>
        <w:pStyle w:val="Prrafodelista"/>
        <w:numPr>
          <w:ilvl w:val="0"/>
          <w:numId w:val="20"/>
        </w:numPr>
        <w:spacing w:after="0" w:line="240" w:lineRule="auto"/>
        <w:ind w:left="851" w:hanging="284"/>
        <w:jc w:val="both"/>
        <w:rPr>
          <w:rFonts w:ascii="Book Antiqua" w:hAnsi="Book Antiqua" w:cs="Book Antiqua"/>
          <w:sz w:val="24"/>
          <w:szCs w:val="24"/>
        </w:rPr>
      </w:pPr>
      <w:r w:rsidRPr="0099468A">
        <w:rPr>
          <w:rFonts w:ascii="Book Antiqua" w:hAnsi="Book Antiqua" w:cs="Book Antiqua"/>
          <w:b/>
          <w:bCs/>
          <w:sz w:val="24"/>
          <w:szCs w:val="24"/>
        </w:rPr>
        <w:t>11084-2020</w:t>
      </w:r>
      <w:r w:rsidR="002F70BE" w:rsidRPr="0099468A">
        <w:rPr>
          <w:rFonts w:ascii="Book Antiqua" w:hAnsi="Book Antiqua" w:cs="Book Antiqua"/>
          <w:b/>
          <w:bCs/>
          <w:sz w:val="24"/>
          <w:szCs w:val="24"/>
        </w:rPr>
        <w:t>:</w:t>
      </w:r>
      <w:r w:rsidR="002F70BE" w:rsidRPr="0099468A">
        <w:rPr>
          <w:rFonts w:ascii="Book Antiqua" w:hAnsi="Book Antiqua" w:cs="Book Antiqua"/>
          <w:sz w:val="24"/>
          <w:szCs w:val="24"/>
        </w:rPr>
        <w:t xml:space="preserve"> </w:t>
      </w:r>
      <w:r w:rsidR="00586C8E" w:rsidRPr="0099468A">
        <w:rPr>
          <w:rFonts w:ascii="Book Antiqua" w:hAnsi="Book Antiqua" w:cs="Book Antiqua"/>
          <w:sz w:val="24"/>
          <w:szCs w:val="24"/>
        </w:rPr>
        <w:t xml:space="preserve">donde se transcribe el acuerdo tomado por el Consejo Superior del Poder Judicial, en </w:t>
      </w:r>
      <w:r w:rsidR="002F70BE" w:rsidRPr="0099468A">
        <w:rPr>
          <w:rFonts w:ascii="Book Antiqua" w:hAnsi="Book Antiqua" w:cs="Book Antiqua"/>
          <w:sz w:val="24"/>
          <w:szCs w:val="24"/>
        </w:rPr>
        <w:t>la sesión 56-2020 celebrada el 09 de junio del 2020, artículo LXIII</w:t>
      </w:r>
      <w:r w:rsidR="000336B5">
        <w:rPr>
          <w:rFonts w:ascii="Book Antiqua" w:hAnsi="Book Antiqua" w:cs="Book Antiqua"/>
          <w:sz w:val="24"/>
          <w:szCs w:val="24"/>
        </w:rPr>
        <w:t>.</w:t>
      </w:r>
      <w:r w:rsidR="00943A4F" w:rsidRPr="0099468A">
        <w:rPr>
          <w:rFonts w:ascii="Book Antiqua" w:hAnsi="Book Antiqua" w:cs="Book Antiqua"/>
          <w:sz w:val="24"/>
          <w:szCs w:val="24"/>
        </w:rPr>
        <w:t xml:space="preserve"> </w:t>
      </w:r>
    </w:p>
    <w:p w14:paraId="33AB823F" w14:textId="77777777" w:rsidR="00986203" w:rsidRPr="0099468A" w:rsidRDefault="00986203" w:rsidP="00A950EF">
      <w:pPr>
        <w:spacing w:after="0" w:line="240" w:lineRule="auto"/>
        <w:ind w:firstLine="708"/>
        <w:jc w:val="both"/>
        <w:rPr>
          <w:rFonts w:ascii="Book Antiqua" w:hAnsi="Book Antiqua" w:cs="Book Antiqua"/>
          <w:sz w:val="24"/>
          <w:szCs w:val="24"/>
        </w:rPr>
      </w:pPr>
    </w:p>
    <w:p w14:paraId="60C1E202" w14:textId="450A7983" w:rsidR="00C0189A" w:rsidRDefault="004B5C85" w:rsidP="00A950EF">
      <w:pPr>
        <w:spacing w:after="0" w:line="240" w:lineRule="auto"/>
        <w:ind w:firstLine="708"/>
        <w:jc w:val="both"/>
        <w:rPr>
          <w:rFonts w:ascii="Book Antiqua" w:hAnsi="Book Antiqua" w:cs="Book Antiqua"/>
          <w:sz w:val="24"/>
          <w:szCs w:val="24"/>
        </w:rPr>
      </w:pPr>
      <w:r w:rsidRPr="0099468A">
        <w:rPr>
          <w:rFonts w:ascii="Book Antiqua" w:hAnsi="Book Antiqua" w:cs="Book Antiqua"/>
          <w:sz w:val="24"/>
          <w:szCs w:val="24"/>
        </w:rPr>
        <w:t>L</w:t>
      </w:r>
      <w:r w:rsidR="00C0189A" w:rsidRPr="0099468A">
        <w:rPr>
          <w:rFonts w:ascii="Book Antiqua" w:hAnsi="Book Antiqua" w:cs="Book Antiqua"/>
          <w:sz w:val="24"/>
          <w:szCs w:val="24"/>
        </w:rPr>
        <w:t>e remito el informe</w:t>
      </w:r>
      <w:r w:rsidR="0072419E" w:rsidRPr="0099468A">
        <w:rPr>
          <w:rFonts w:ascii="Book Antiqua" w:hAnsi="Book Antiqua" w:cs="Book Antiqua"/>
          <w:sz w:val="24"/>
          <w:szCs w:val="24"/>
        </w:rPr>
        <w:t xml:space="preserve"> </w:t>
      </w:r>
      <w:r w:rsidR="00C0189A" w:rsidRPr="0099468A">
        <w:rPr>
          <w:rFonts w:ascii="Book Antiqua" w:hAnsi="Book Antiqua" w:cs="Book Antiqua"/>
          <w:sz w:val="24"/>
          <w:szCs w:val="24"/>
        </w:rPr>
        <w:t xml:space="preserve">suscrito por </w:t>
      </w:r>
      <w:r w:rsidR="00CB40A4">
        <w:rPr>
          <w:rFonts w:ascii="Book Antiqua" w:hAnsi="Book Antiqua" w:cs="Book Antiqua"/>
          <w:sz w:val="24"/>
          <w:szCs w:val="24"/>
        </w:rPr>
        <w:t xml:space="preserve">el </w:t>
      </w:r>
      <w:r w:rsidR="00CB40A4" w:rsidRPr="0099468A">
        <w:rPr>
          <w:rFonts w:ascii="Book Antiqua" w:hAnsi="Book Antiqua" w:cs="Book Antiqua"/>
          <w:sz w:val="24"/>
          <w:szCs w:val="24"/>
        </w:rPr>
        <w:t>Ing.</w:t>
      </w:r>
      <w:r w:rsidR="00C0189A" w:rsidRPr="0099468A">
        <w:rPr>
          <w:rFonts w:ascii="Book Antiqua" w:hAnsi="Book Antiqua" w:cs="Book Antiqua"/>
          <w:sz w:val="24"/>
          <w:szCs w:val="24"/>
        </w:rPr>
        <w:t xml:space="preserve"> </w:t>
      </w:r>
      <w:r w:rsidR="00336D0A" w:rsidRPr="0099468A">
        <w:rPr>
          <w:rFonts w:ascii="Book Antiqua" w:hAnsi="Book Antiqua" w:cs="Book Antiqua"/>
          <w:sz w:val="24"/>
          <w:szCs w:val="24"/>
        </w:rPr>
        <w:t xml:space="preserve">Jorge Fernando </w:t>
      </w:r>
      <w:r w:rsidR="00922DC7" w:rsidRPr="0099468A">
        <w:rPr>
          <w:rFonts w:ascii="Book Antiqua" w:hAnsi="Book Antiqua" w:cs="Book Antiqua"/>
          <w:sz w:val="24"/>
          <w:szCs w:val="24"/>
        </w:rPr>
        <w:t>Rodríguez Salazar</w:t>
      </w:r>
      <w:r w:rsidR="00C0189A" w:rsidRPr="0099468A">
        <w:rPr>
          <w:rFonts w:ascii="Book Antiqua" w:hAnsi="Book Antiqua" w:cs="Book Antiqua"/>
          <w:sz w:val="24"/>
          <w:szCs w:val="24"/>
        </w:rPr>
        <w:t xml:space="preserve">, Jefe </w:t>
      </w:r>
      <w:r w:rsidR="00A950EF" w:rsidRPr="0099468A">
        <w:rPr>
          <w:rFonts w:ascii="Book Antiqua" w:hAnsi="Book Antiqua" w:cs="Book Antiqua"/>
          <w:sz w:val="24"/>
          <w:szCs w:val="24"/>
        </w:rPr>
        <w:t xml:space="preserve">a.i. </w:t>
      </w:r>
      <w:r w:rsidR="00C0189A" w:rsidRPr="0099468A">
        <w:rPr>
          <w:rFonts w:ascii="Book Antiqua" w:hAnsi="Book Antiqua" w:cs="Book Antiqua"/>
          <w:sz w:val="24"/>
          <w:szCs w:val="24"/>
        </w:rPr>
        <w:t xml:space="preserve">del Subproceso de Modernización Institucional, </w:t>
      </w:r>
      <w:r w:rsidR="00A65B88" w:rsidRPr="0099468A">
        <w:rPr>
          <w:rFonts w:ascii="Book Antiqua" w:hAnsi="Book Antiqua" w:cs="Book Antiqua"/>
          <w:sz w:val="24"/>
          <w:szCs w:val="24"/>
        </w:rPr>
        <w:t xml:space="preserve">relacionado con el estudio para determinar las cuotas de trabajo en los Tribunales que </w:t>
      </w:r>
      <w:r w:rsidR="00B31EF1">
        <w:rPr>
          <w:rFonts w:ascii="Book Antiqua" w:hAnsi="Book Antiqua" w:cs="Book Antiqua"/>
          <w:sz w:val="24"/>
          <w:szCs w:val="24"/>
        </w:rPr>
        <w:t>conocen</w:t>
      </w:r>
      <w:r w:rsidR="00B31EF1" w:rsidRPr="0099468A">
        <w:rPr>
          <w:rFonts w:ascii="Book Antiqua" w:hAnsi="Book Antiqua" w:cs="Book Antiqua"/>
          <w:sz w:val="24"/>
          <w:szCs w:val="24"/>
        </w:rPr>
        <w:t xml:space="preserve"> </w:t>
      </w:r>
      <w:r w:rsidR="00A65B88" w:rsidRPr="0099468A">
        <w:rPr>
          <w:rFonts w:ascii="Book Antiqua" w:hAnsi="Book Antiqua" w:cs="Book Antiqua"/>
          <w:sz w:val="24"/>
          <w:szCs w:val="24"/>
        </w:rPr>
        <w:t xml:space="preserve">las apelaciones en </w:t>
      </w:r>
      <w:r w:rsidR="00B31EF1">
        <w:rPr>
          <w:rFonts w:ascii="Book Antiqua" w:hAnsi="Book Antiqua" w:cs="Book Antiqua"/>
          <w:sz w:val="24"/>
          <w:szCs w:val="24"/>
        </w:rPr>
        <w:t xml:space="preserve">segunda instancia en </w:t>
      </w:r>
      <w:r w:rsidR="00A65B88" w:rsidRPr="0099468A">
        <w:rPr>
          <w:rFonts w:ascii="Book Antiqua" w:hAnsi="Book Antiqua" w:cs="Book Antiqua"/>
          <w:sz w:val="24"/>
          <w:szCs w:val="24"/>
        </w:rPr>
        <w:t>materia</w:t>
      </w:r>
      <w:r w:rsidR="00B31EF1">
        <w:rPr>
          <w:rFonts w:ascii="Book Antiqua" w:hAnsi="Book Antiqua" w:cs="Book Antiqua"/>
          <w:sz w:val="24"/>
          <w:szCs w:val="24"/>
        </w:rPr>
        <w:t xml:space="preserve"> de</w:t>
      </w:r>
      <w:r w:rsidR="00A65B88" w:rsidRPr="0099468A">
        <w:rPr>
          <w:rFonts w:ascii="Book Antiqua" w:hAnsi="Book Antiqua" w:cs="Book Antiqua"/>
          <w:sz w:val="24"/>
          <w:szCs w:val="24"/>
        </w:rPr>
        <w:t xml:space="preserve"> Trabajo y Civil del país</w:t>
      </w:r>
      <w:r w:rsidR="00C0189A" w:rsidRPr="0099468A">
        <w:rPr>
          <w:rFonts w:ascii="Book Antiqua" w:hAnsi="Book Antiqua" w:cs="Book Antiqua"/>
          <w:sz w:val="24"/>
          <w:szCs w:val="24"/>
        </w:rPr>
        <w:t xml:space="preserve">. </w:t>
      </w:r>
    </w:p>
    <w:p w14:paraId="7F77FFEA" w14:textId="39A1AC91" w:rsidR="00EB031E" w:rsidRDefault="00EB031E" w:rsidP="00A950EF">
      <w:pPr>
        <w:spacing w:after="0" w:line="240" w:lineRule="auto"/>
        <w:ind w:firstLine="708"/>
        <w:jc w:val="both"/>
        <w:rPr>
          <w:rFonts w:ascii="Book Antiqua" w:hAnsi="Book Antiqua" w:cs="Book Antiqua"/>
          <w:sz w:val="24"/>
          <w:szCs w:val="24"/>
        </w:rPr>
      </w:pPr>
    </w:p>
    <w:p w14:paraId="6A0CFAB4" w14:textId="77777777" w:rsidR="00EB031E" w:rsidRDefault="00EB031E" w:rsidP="00EB031E">
      <w:pPr>
        <w:tabs>
          <w:tab w:val="num" w:pos="709"/>
        </w:tabs>
        <w:jc w:val="both"/>
        <w:rPr>
          <w:rFonts w:ascii="Book Antiqua" w:hAnsi="Book Antiqua" w:cs="Book Antiqua"/>
          <w:sz w:val="24"/>
          <w:szCs w:val="24"/>
        </w:rPr>
      </w:pPr>
      <w:r>
        <w:rPr>
          <w:rFonts w:ascii="Book Antiqua" w:hAnsi="Book Antiqua" w:cs="Book Antiqua"/>
          <w:sz w:val="24"/>
          <w:szCs w:val="24"/>
        </w:rPr>
        <w:tab/>
        <w:t>C</w:t>
      </w:r>
      <w:r w:rsidRPr="00CE7D81">
        <w:rPr>
          <w:rFonts w:ascii="Book Antiqua" w:hAnsi="Book Antiqua" w:cs="Book Antiqua"/>
          <w:sz w:val="24"/>
          <w:szCs w:val="24"/>
        </w:rPr>
        <w:t xml:space="preserve">on el fin de que se manifestaran al respecto, mediante oficio </w:t>
      </w:r>
      <w:r>
        <w:rPr>
          <w:rFonts w:ascii="Book Antiqua" w:hAnsi="Book Antiqua" w:cs="Book Antiqua"/>
          <w:sz w:val="24"/>
          <w:szCs w:val="24"/>
        </w:rPr>
        <w:t>708</w:t>
      </w:r>
      <w:r w:rsidRPr="00CE7D81">
        <w:rPr>
          <w:rFonts w:ascii="Book Antiqua" w:hAnsi="Book Antiqua" w:cs="Book Antiqua"/>
          <w:sz w:val="24"/>
          <w:szCs w:val="24"/>
        </w:rPr>
        <w:t>-PLA-MI-20</w:t>
      </w:r>
      <w:r>
        <w:rPr>
          <w:rFonts w:ascii="Book Antiqua" w:hAnsi="Book Antiqua" w:cs="Book Antiqua"/>
          <w:sz w:val="24"/>
          <w:szCs w:val="24"/>
        </w:rPr>
        <w:t>21</w:t>
      </w:r>
      <w:r w:rsidRPr="00CE7D81">
        <w:rPr>
          <w:rFonts w:ascii="Book Antiqua" w:hAnsi="Book Antiqua" w:cs="Book Antiqua"/>
          <w:sz w:val="24"/>
          <w:szCs w:val="24"/>
        </w:rPr>
        <w:t xml:space="preserve">, del </w:t>
      </w:r>
      <w:r>
        <w:rPr>
          <w:rFonts w:ascii="Book Antiqua" w:hAnsi="Book Antiqua" w:cs="Book Antiqua"/>
          <w:sz w:val="24"/>
          <w:szCs w:val="24"/>
        </w:rPr>
        <w:t>25 de julio de 2021</w:t>
      </w:r>
      <w:r w:rsidRPr="00CE7D81">
        <w:rPr>
          <w:rFonts w:ascii="Book Antiqua" w:hAnsi="Book Antiqua" w:cs="Book Antiqua"/>
          <w:sz w:val="24"/>
          <w:szCs w:val="24"/>
        </w:rPr>
        <w:t>, el preliminar de este documento fue puesto en conocimiento</w:t>
      </w:r>
      <w:r>
        <w:rPr>
          <w:rFonts w:ascii="Book Antiqua" w:hAnsi="Book Antiqua" w:cs="Book Antiqua"/>
          <w:sz w:val="24"/>
          <w:szCs w:val="24"/>
        </w:rPr>
        <w:t xml:space="preserve"> de:</w:t>
      </w:r>
    </w:p>
    <w:p w14:paraId="2D586331" w14:textId="77777777" w:rsidR="00EB031E" w:rsidRPr="00EB031E" w:rsidRDefault="00EB031E" w:rsidP="00EB031E">
      <w:pPr>
        <w:tabs>
          <w:tab w:val="num" w:pos="709"/>
        </w:tabs>
        <w:spacing w:after="0" w:line="240" w:lineRule="auto"/>
        <w:jc w:val="both"/>
        <w:rPr>
          <w:rFonts w:ascii="Book Antiqua" w:hAnsi="Book Antiqua" w:cs="Book Antiqua"/>
          <w:sz w:val="24"/>
          <w:szCs w:val="24"/>
        </w:rPr>
      </w:pPr>
      <w:r w:rsidRPr="00EB031E">
        <w:rPr>
          <w:rFonts w:ascii="Book Antiqua" w:hAnsi="Book Antiqua" w:cs="Book Antiqua"/>
          <w:sz w:val="24"/>
          <w:szCs w:val="24"/>
        </w:rPr>
        <w:t>•</w:t>
      </w:r>
      <w:r w:rsidRPr="00EB031E">
        <w:rPr>
          <w:rFonts w:ascii="Book Antiqua" w:hAnsi="Book Antiqua" w:cs="Book Antiqua"/>
          <w:sz w:val="24"/>
          <w:szCs w:val="24"/>
        </w:rPr>
        <w:tab/>
      </w:r>
      <w:bookmarkStart w:id="1" w:name="_Hlk83308382"/>
      <w:r w:rsidRPr="00EB031E">
        <w:rPr>
          <w:rFonts w:ascii="Book Antiqua" w:hAnsi="Book Antiqua" w:cs="Book Antiqua"/>
          <w:sz w:val="24"/>
          <w:szCs w:val="24"/>
        </w:rPr>
        <w:t xml:space="preserve">Comisión de Jurisdicción Civil </w:t>
      </w:r>
    </w:p>
    <w:p w14:paraId="32E20846" w14:textId="77777777" w:rsidR="00EB031E" w:rsidRPr="00EB031E" w:rsidRDefault="00EB031E" w:rsidP="00EB031E">
      <w:pPr>
        <w:tabs>
          <w:tab w:val="num" w:pos="709"/>
        </w:tabs>
        <w:spacing w:after="0" w:line="240" w:lineRule="auto"/>
        <w:jc w:val="both"/>
        <w:rPr>
          <w:rFonts w:ascii="Book Antiqua" w:hAnsi="Book Antiqua" w:cs="Book Antiqua"/>
          <w:sz w:val="24"/>
          <w:szCs w:val="24"/>
        </w:rPr>
      </w:pPr>
    </w:p>
    <w:p w14:paraId="2464251F" w14:textId="77777777" w:rsidR="00EB031E" w:rsidRPr="00EB031E" w:rsidRDefault="00EB031E" w:rsidP="00EB031E">
      <w:pPr>
        <w:tabs>
          <w:tab w:val="num" w:pos="709"/>
        </w:tabs>
        <w:spacing w:after="0" w:line="240" w:lineRule="auto"/>
        <w:jc w:val="both"/>
        <w:rPr>
          <w:rFonts w:ascii="Book Antiqua" w:hAnsi="Book Antiqua" w:cs="Book Antiqua"/>
          <w:sz w:val="24"/>
          <w:szCs w:val="24"/>
        </w:rPr>
      </w:pPr>
      <w:r w:rsidRPr="00EB031E">
        <w:rPr>
          <w:rFonts w:ascii="Book Antiqua" w:hAnsi="Book Antiqua" w:cs="Book Antiqua"/>
          <w:sz w:val="24"/>
          <w:szCs w:val="24"/>
        </w:rPr>
        <w:t>•</w:t>
      </w:r>
      <w:r w:rsidRPr="00EB031E">
        <w:rPr>
          <w:rFonts w:ascii="Book Antiqua" w:hAnsi="Book Antiqua" w:cs="Book Antiqua"/>
          <w:sz w:val="24"/>
          <w:szCs w:val="24"/>
        </w:rPr>
        <w:tab/>
        <w:t>Comisión de Jurisdicción Laboral</w:t>
      </w:r>
    </w:p>
    <w:p w14:paraId="30F0D8E0" w14:textId="77777777" w:rsidR="00EB031E" w:rsidRPr="00EB031E" w:rsidRDefault="00EB031E" w:rsidP="00EB031E">
      <w:pPr>
        <w:tabs>
          <w:tab w:val="num" w:pos="709"/>
        </w:tabs>
        <w:spacing w:after="0" w:line="240" w:lineRule="auto"/>
        <w:jc w:val="both"/>
        <w:rPr>
          <w:rFonts w:ascii="Book Antiqua" w:hAnsi="Book Antiqua" w:cs="Book Antiqua"/>
          <w:sz w:val="24"/>
          <w:szCs w:val="24"/>
        </w:rPr>
      </w:pPr>
    </w:p>
    <w:p w14:paraId="22BCCF36" w14:textId="77777777" w:rsidR="00EB031E" w:rsidRPr="00EB031E" w:rsidRDefault="00EB031E" w:rsidP="00EB031E">
      <w:pPr>
        <w:tabs>
          <w:tab w:val="num" w:pos="709"/>
        </w:tabs>
        <w:spacing w:after="0" w:line="240" w:lineRule="auto"/>
        <w:jc w:val="both"/>
        <w:rPr>
          <w:rFonts w:ascii="Book Antiqua" w:hAnsi="Book Antiqua" w:cs="Book Antiqua"/>
          <w:sz w:val="24"/>
          <w:szCs w:val="24"/>
        </w:rPr>
      </w:pPr>
      <w:r w:rsidRPr="00EB031E">
        <w:rPr>
          <w:rFonts w:ascii="Book Antiqua" w:hAnsi="Book Antiqua" w:cs="Book Antiqua"/>
          <w:sz w:val="24"/>
          <w:szCs w:val="24"/>
        </w:rPr>
        <w:t>•</w:t>
      </w:r>
      <w:r w:rsidRPr="00EB031E">
        <w:rPr>
          <w:rFonts w:ascii="Book Antiqua" w:hAnsi="Book Antiqua" w:cs="Book Antiqua"/>
          <w:sz w:val="24"/>
          <w:szCs w:val="24"/>
        </w:rPr>
        <w:tab/>
        <w:t>Tribunal de Apelación Civil y Trabajo de Pérez Zeledón</w:t>
      </w:r>
    </w:p>
    <w:p w14:paraId="4066092F" w14:textId="77777777" w:rsidR="00EB031E" w:rsidRPr="00EB031E" w:rsidRDefault="00EB031E" w:rsidP="00EB031E">
      <w:pPr>
        <w:tabs>
          <w:tab w:val="num" w:pos="709"/>
        </w:tabs>
        <w:spacing w:after="0" w:line="240" w:lineRule="auto"/>
        <w:jc w:val="both"/>
        <w:rPr>
          <w:rFonts w:ascii="Book Antiqua" w:hAnsi="Book Antiqua" w:cs="Book Antiqua"/>
          <w:sz w:val="24"/>
          <w:szCs w:val="24"/>
        </w:rPr>
      </w:pPr>
    </w:p>
    <w:p w14:paraId="257B1D41" w14:textId="77777777" w:rsidR="00EB031E" w:rsidRPr="00EB031E" w:rsidRDefault="00EB031E" w:rsidP="00EB031E">
      <w:pPr>
        <w:tabs>
          <w:tab w:val="num" w:pos="709"/>
        </w:tabs>
        <w:spacing w:after="0" w:line="240" w:lineRule="auto"/>
        <w:jc w:val="both"/>
        <w:rPr>
          <w:rFonts w:ascii="Book Antiqua" w:hAnsi="Book Antiqua" w:cs="Book Antiqua"/>
          <w:sz w:val="24"/>
          <w:szCs w:val="24"/>
        </w:rPr>
      </w:pPr>
      <w:r w:rsidRPr="00EB031E">
        <w:rPr>
          <w:rFonts w:ascii="Book Antiqua" w:hAnsi="Book Antiqua" w:cs="Book Antiqua"/>
          <w:sz w:val="24"/>
          <w:szCs w:val="24"/>
        </w:rPr>
        <w:t>•</w:t>
      </w:r>
      <w:r w:rsidRPr="00EB031E">
        <w:rPr>
          <w:rFonts w:ascii="Book Antiqua" w:hAnsi="Book Antiqua" w:cs="Book Antiqua"/>
          <w:sz w:val="24"/>
          <w:szCs w:val="24"/>
        </w:rPr>
        <w:tab/>
        <w:t>Tribunal de Apelación Civil y Trabajo de Alajuela</w:t>
      </w:r>
    </w:p>
    <w:p w14:paraId="7F1DFD88" w14:textId="77777777" w:rsidR="00EB031E" w:rsidRPr="00EB031E" w:rsidRDefault="00EB031E" w:rsidP="00EB031E">
      <w:pPr>
        <w:tabs>
          <w:tab w:val="num" w:pos="709"/>
        </w:tabs>
        <w:spacing w:after="0" w:line="240" w:lineRule="auto"/>
        <w:jc w:val="both"/>
        <w:rPr>
          <w:rFonts w:ascii="Book Antiqua" w:hAnsi="Book Antiqua" w:cs="Book Antiqua"/>
          <w:sz w:val="24"/>
          <w:szCs w:val="24"/>
        </w:rPr>
      </w:pPr>
    </w:p>
    <w:p w14:paraId="3C945014" w14:textId="77777777" w:rsidR="00EB031E" w:rsidRPr="00EB031E" w:rsidRDefault="00EB031E" w:rsidP="00EB031E">
      <w:pPr>
        <w:tabs>
          <w:tab w:val="num" w:pos="709"/>
        </w:tabs>
        <w:spacing w:after="0" w:line="240" w:lineRule="auto"/>
        <w:jc w:val="both"/>
        <w:rPr>
          <w:rFonts w:ascii="Book Antiqua" w:hAnsi="Book Antiqua" w:cs="Book Antiqua"/>
          <w:sz w:val="24"/>
          <w:szCs w:val="24"/>
        </w:rPr>
      </w:pPr>
      <w:r w:rsidRPr="00EB031E">
        <w:rPr>
          <w:rFonts w:ascii="Book Antiqua" w:hAnsi="Book Antiqua" w:cs="Book Antiqua"/>
          <w:sz w:val="24"/>
          <w:szCs w:val="24"/>
        </w:rPr>
        <w:t>•</w:t>
      </w:r>
      <w:r w:rsidRPr="00EB031E">
        <w:rPr>
          <w:rFonts w:ascii="Book Antiqua" w:hAnsi="Book Antiqua" w:cs="Book Antiqua"/>
          <w:sz w:val="24"/>
          <w:szCs w:val="24"/>
        </w:rPr>
        <w:tab/>
        <w:t>Tribunal de Apelación Civil y Trabajo de Cartago</w:t>
      </w:r>
    </w:p>
    <w:p w14:paraId="20D0EAE8" w14:textId="77777777" w:rsidR="00EB031E" w:rsidRPr="00EB031E" w:rsidRDefault="00EB031E" w:rsidP="00EB031E">
      <w:pPr>
        <w:tabs>
          <w:tab w:val="num" w:pos="709"/>
        </w:tabs>
        <w:spacing w:after="0" w:line="240" w:lineRule="auto"/>
        <w:jc w:val="both"/>
        <w:rPr>
          <w:rFonts w:ascii="Book Antiqua" w:hAnsi="Book Antiqua" w:cs="Book Antiqua"/>
          <w:sz w:val="24"/>
          <w:szCs w:val="24"/>
        </w:rPr>
      </w:pPr>
    </w:p>
    <w:p w14:paraId="09D07F61" w14:textId="77777777" w:rsidR="00EB031E" w:rsidRPr="00EB031E" w:rsidRDefault="00EB031E" w:rsidP="00EB031E">
      <w:pPr>
        <w:tabs>
          <w:tab w:val="num" w:pos="709"/>
        </w:tabs>
        <w:spacing w:after="0" w:line="240" w:lineRule="auto"/>
        <w:jc w:val="both"/>
        <w:rPr>
          <w:rFonts w:ascii="Book Antiqua" w:hAnsi="Book Antiqua" w:cs="Book Antiqua"/>
          <w:sz w:val="24"/>
          <w:szCs w:val="24"/>
        </w:rPr>
      </w:pPr>
      <w:r w:rsidRPr="00EB031E">
        <w:rPr>
          <w:rFonts w:ascii="Book Antiqua" w:hAnsi="Book Antiqua" w:cs="Book Antiqua"/>
          <w:sz w:val="24"/>
          <w:szCs w:val="24"/>
        </w:rPr>
        <w:t>•</w:t>
      </w:r>
      <w:r w:rsidRPr="00EB031E">
        <w:rPr>
          <w:rFonts w:ascii="Book Antiqua" w:hAnsi="Book Antiqua" w:cs="Book Antiqua"/>
          <w:sz w:val="24"/>
          <w:szCs w:val="24"/>
        </w:rPr>
        <w:tab/>
        <w:t>Tribunal de Apelación Civil y Trabajo de Heredia</w:t>
      </w:r>
    </w:p>
    <w:p w14:paraId="1EB36F74" w14:textId="77777777" w:rsidR="00EB031E" w:rsidRPr="00EB031E" w:rsidRDefault="00EB031E" w:rsidP="00EB031E">
      <w:pPr>
        <w:tabs>
          <w:tab w:val="num" w:pos="709"/>
        </w:tabs>
        <w:spacing w:after="0" w:line="240" w:lineRule="auto"/>
        <w:jc w:val="both"/>
        <w:rPr>
          <w:rFonts w:ascii="Book Antiqua" w:hAnsi="Book Antiqua" w:cs="Book Antiqua"/>
          <w:sz w:val="24"/>
          <w:szCs w:val="24"/>
        </w:rPr>
      </w:pPr>
    </w:p>
    <w:p w14:paraId="64C765FE" w14:textId="77777777" w:rsidR="00EB031E" w:rsidRPr="00EB031E" w:rsidRDefault="00EB031E" w:rsidP="00EB031E">
      <w:pPr>
        <w:tabs>
          <w:tab w:val="num" w:pos="709"/>
        </w:tabs>
        <w:spacing w:after="0" w:line="240" w:lineRule="auto"/>
        <w:jc w:val="both"/>
        <w:rPr>
          <w:rFonts w:ascii="Book Antiqua" w:hAnsi="Book Antiqua" w:cs="Book Antiqua"/>
          <w:sz w:val="24"/>
          <w:szCs w:val="24"/>
        </w:rPr>
      </w:pPr>
      <w:r w:rsidRPr="00EB031E">
        <w:rPr>
          <w:rFonts w:ascii="Book Antiqua" w:hAnsi="Book Antiqua" w:cs="Book Antiqua"/>
          <w:sz w:val="24"/>
          <w:szCs w:val="24"/>
        </w:rPr>
        <w:t>•</w:t>
      </w:r>
      <w:r w:rsidRPr="00EB031E">
        <w:rPr>
          <w:rFonts w:ascii="Book Antiqua" w:hAnsi="Book Antiqua" w:cs="Book Antiqua"/>
          <w:sz w:val="24"/>
          <w:szCs w:val="24"/>
        </w:rPr>
        <w:tab/>
        <w:t>Tribunal de Apelación Civil y Trabajo de Liberia</w:t>
      </w:r>
    </w:p>
    <w:p w14:paraId="50A0AB99" w14:textId="77777777" w:rsidR="00EB031E" w:rsidRPr="00EB031E" w:rsidRDefault="00EB031E" w:rsidP="00EB031E">
      <w:pPr>
        <w:tabs>
          <w:tab w:val="num" w:pos="709"/>
        </w:tabs>
        <w:spacing w:after="0" w:line="240" w:lineRule="auto"/>
        <w:jc w:val="both"/>
        <w:rPr>
          <w:rFonts w:ascii="Book Antiqua" w:hAnsi="Book Antiqua" w:cs="Book Antiqua"/>
          <w:sz w:val="24"/>
          <w:szCs w:val="24"/>
        </w:rPr>
      </w:pPr>
    </w:p>
    <w:p w14:paraId="3EE3DCC1" w14:textId="77777777" w:rsidR="00EB031E" w:rsidRPr="00EB031E" w:rsidRDefault="00EB031E" w:rsidP="00EB031E">
      <w:pPr>
        <w:tabs>
          <w:tab w:val="num" w:pos="709"/>
        </w:tabs>
        <w:spacing w:after="0" w:line="240" w:lineRule="auto"/>
        <w:jc w:val="both"/>
        <w:rPr>
          <w:rFonts w:ascii="Book Antiqua" w:hAnsi="Book Antiqua" w:cs="Book Antiqua"/>
          <w:sz w:val="24"/>
          <w:szCs w:val="24"/>
        </w:rPr>
      </w:pPr>
      <w:r w:rsidRPr="00EB031E">
        <w:rPr>
          <w:rFonts w:ascii="Book Antiqua" w:hAnsi="Book Antiqua" w:cs="Book Antiqua"/>
          <w:sz w:val="24"/>
          <w:szCs w:val="24"/>
        </w:rPr>
        <w:t>•</w:t>
      </w:r>
      <w:r w:rsidRPr="00EB031E">
        <w:rPr>
          <w:rFonts w:ascii="Book Antiqua" w:hAnsi="Book Antiqua" w:cs="Book Antiqua"/>
          <w:sz w:val="24"/>
          <w:szCs w:val="24"/>
        </w:rPr>
        <w:tab/>
        <w:t>Tribunal de Apelación Civil y Trabajo de Puntarenas</w:t>
      </w:r>
    </w:p>
    <w:p w14:paraId="4698BF97" w14:textId="77777777" w:rsidR="00EB031E" w:rsidRPr="00EB031E" w:rsidRDefault="00EB031E" w:rsidP="00EB031E">
      <w:pPr>
        <w:tabs>
          <w:tab w:val="num" w:pos="709"/>
        </w:tabs>
        <w:spacing w:after="0" w:line="240" w:lineRule="auto"/>
        <w:jc w:val="both"/>
        <w:rPr>
          <w:rFonts w:ascii="Book Antiqua" w:hAnsi="Book Antiqua" w:cs="Book Antiqua"/>
          <w:sz w:val="24"/>
          <w:szCs w:val="24"/>
        </w:rPr>
      </w:pPr>
    </w:p>
    <w:p w14:paraId="353B5319" w14:textId="6C438B29" w:rsidR="004430C7" w:rsidRDefault="00EB031E" w:rsidP="00EB031E">
      <w:pPr>
        <w:tabs>
          <w:tab w:val="num" w:pos="709"/>
        </w:tabs>
        <w:spacing w:after="0" w:line="240" w:lineRule="auto"/>
        <w:jc w:val="both"/>
        <w:rPr>
          <w:rFonts w:ascii="Book Antiqua" w:hAnsi="Book Antiqua" w:cs="Book Antiqua"/>
          <w:sz w:val="24"/>
          <w:szCs w:val="24"/>
        </w:rPr>
      </w:pPr>
      <w:r w:rsidRPr="00EB031E">
        <w:rPr>
          <w:rFonts w:ascii="Book Antiqua" w:hAnsi="Book Antiqua" w:cs="Book Antiqua"/>
          <w:sz w:val="24"/>
          <w:szCs w:val="24"/>
        </w:rPr>
        <w:t>•</w:t>
      </w:r>
      <w:r w:rsidRPr="00EB031E">
        <w:rPr>
          <w:rFonts w:ascii="Book Antiqua" w:hAnsi="Book Antiqua" w:cs="Book Antiqua"/>
          <w:sz w:val="24"/>
          <w:szCs w:val="24"/>
        </w:rPr>
        <w:tab/>
        <w:t>Tribunal de Apelación Civil y Trabajo de Limón</w:t>
      </w:r>
    </w:p>
    <w:bookmarkEnd w:id="1"/>
    <w:p w14:paraId="41579F75" w14:textId="03EEE2E1" w:rsidR="00225D9F" w:rsidRDefault="006E6CBA" w:rsidP="00F32D00">
      <w:pPr>
        <w:tabs>
          <w:tab w:val="num" w:pos="709"/>
        </w:tabs>
        <w:spacing w:after="0" w:line="240" w:lineRule="auto"/>
        <w:jc w:val="both"/>
        <w:rPr>
          <w:rFonts w:ascii="Book Antiqua" w:hAnsi="Book Antiqua" w:cs="Book Antiqua"/>
          <w:sz w:val="24"/>
          <w:szCs w:val="24"/>
        </w:rPr>
      </w:pPr>
      <w:r>
        <w:rPr>
          <w:rFonts w:ascii="Book Antiqua" w:hAnsi="Book Antiqua" w:cs="Book Antiqua"/>
          <w:sz w:val="24"/>
          <w:szCs w:val="24"/>
        </w:rPr>
        <w:lastRenderedPageBreak/>
        <w:tab/>
      </w:r>
      <w:r w:rsidR="00CB40A4">
        <w:rPr>
          <w:rFonts w:ascii="Book Antiqua" w:hAnsi="Book Antiqua" w:cs="Book Antiqua"/>
          <w:sz w:val="24"/>
          <w:szCs w:val="24"/>
        </w:rPr>
        <w:t>Además,</w:t>
      </w:r>
      <w:r w:rsidR="004430C7">
        <w:rPr>
          <w:rFonts w:ascii="Book Antiqua" w:hAnsi="Book Antiqua" w:cs="Book Antiqua"/>
          <w:sz w:val="24"/>
          <w:szCs w:val="24"/>
        </w:rPr>
        <w:t xml:space="preserve"> se le solicitó criterio a </w:t>
      </w:r>
      <w:r w:rsidR="004430C7" w:rsidRPr="004430C7">
        <w:rPr>
          <w:rFonts w:ascii="Book Antiqua" w:hAnsi="Book Antiqua" w:cs="Book Antiqua"/>
          <w:sz w:val="24"/>
          <w:szCs w:val="24"/>
        </w:rPr>
        <w:t>al Centro de Apoyo, Coordinación y Mejoramiento de la Función Jurisdiccional y a los Gestores de las materias Civil y Laboral.</w:t>
      </w:r>
      <w:r w:rsidR="00F32D00">
        <w:rPr>
          <w:rFonts w:ascii="Book Antiqua" w:hAnsi="Book Antiqua" w:cs="Book Antiqua"/>
          <w:sz w:val="24"/>
          <w:szCs w:val="24"/>
        </w:rPr>
        <w:t xml:space="preserve"> </w:t>
      </w:r>
    </w:p>
    <w:p w14:paraId="1599A142" w14:textId="77777777" w:rsidR="00225D9F" w:rsidRDefault="00225D9F" w:rsidP="00F32D00">
      <w:pPr>
        <w:tabs>
          <w:tab w:val="num" w:pos="709"/>
        </w:tabs>
        <w:spacing w:after="0" w:line="240" w:lineRule="auto"/>
        <w:jc w:val="both"/>
        <w:rPr>
          <w:rFonts w:ascii="Book Antiqua" w:hAnsi="Book Antiqua" w:cs="Book Antiqua"/>
          <w:sz w:val="24"/>
          <w:szCs w:val="24"/>
        </w:rPr>
      </w:pPr>
    </w:p>
    <w:p w14:paraId="02A617E0" w14:textId="39E8119D" w:rsidR="00F32D00" w:rsidRDefault="00EB031E" w:rsidP="00F32D00">
      <w:pPr>
        <w:tabs>
          <w:tab w:val="num" w:pos="709"/>
        </w:tabs>
        <w:spacing w:after="0" w:line="240" w:lineRule="auto"/>
        <w:jc w:val="both"/>
        <w:rPr>
          <w:rFonts w:ascii="Book Antiqua" w:hAnsi="Book Antiqua" w:cs="Book Antiqua"/>
          <w:sz w:val="24"/>
          <w:szCs w:val="24"/>
        </w:rPr>
      </w:pPr>
      <w:r>
        <w:rPr>
          <w:rFonts w:ascii="Book Antiqua" w:hAnsi="Book Antiqua" w:cs="Book Antiqua"/>
          <w:sz w:val="24"/>
          <w:szCs w:val="24"/>
        </w:rPr>
        <w:t>Como respuesta se recibió</w:t>
      </w:r>
      <w:r w:rsidR="00F32D00">
        <w:rPr>
          <w:rFonts w:ascii="Book Antiqua" w:hAnsi="Book Antiqua" w:cs="Book Antiqua"/>
          <w:sz w:val="24"/>
          <w:szCs w:val="24"/>
        </w:rPr>
        <w:t>:</w:t>
      </w:r>
    </w:p>
    <w:p w14:paraId="34D6471D" w14:textId="1B72EE2B" w:rsidR="00F32D00" w:rsidRDefault="00F32D00" w:rsidP="00F32D00">
      <w:pPr>
        <w:tabs>
          <w:tab w:val="num" w:pos="709"/>
        </w:tabs>
        <w:spacing w:after="0" w:line="240" w:lineRule="auto"/>
        <w:jc w:val="both"/>
        <w:rPr>
          <w:rFonts w:ascii="Book Antiqua" w:hAnsi="Book Antiqua" w:cs="Book Antiqua"/>
          <w:sz w:val="24"/>
          <w:szCs w:val="24"/>
        </w:rPr>
      </w:pPr>
    </w:p>
    <w:tbl>
      <w:tblPr>
        <w:tblStyle w:val="Tablaconcuadrcula"/>
        <w:tblW w:w="0" w:type="auto"/>
        <w:tblLook w:val="04A0" w:firstRow="1" w:lastRow="0" w:firstColumn="1" w:lastColumn="0" w:noHBand="0" w:noVBand="1"/>
      </w:tblPr>
      <w:tblGrid>
        <w:gridCol w:w="2942"/>
        <w:gridCol w:w="2943"/>
        <w:gridCol w:w="2943"/>
      </w:tblGrid>
      <w:tr w:rsidR="00F32D00" w14:paraId="1910875D" w14:textId="77777777" w:rsidTr="00F32D00">
        <w:tc>
          <w:tcPr>
            <w:tcW w:w="2942" w:type="dxa"/>
          </w:tcPr>
          <w:p w14:paraId="1A9ACA37" w14:textId="6B2109BD" w:rsidR="00F32D00" w:rsidRPr="00225D9F" w:rsidRDefault="00225D9F" w:rsidP="00225D9F">
            <w:pPr>
              <w:tabs>
                <w:tab w:val="num" w:pos="709"/>
              </w:tabs>
              <w:jc w:val="center"/>
              <w:rPr>
                <w:rFonts w:ascii="Book Antiqua" w:hAnsi="Book Antiqua" w:cs="Book Antiqua"/>
                <w:b/>
                <w:bCs/>
                <w:sz w:val="24"/>
                <w:szCs w:val="24"/>
              </w:rPr>
            </w:pPr>
            <w:r w:rsidRPr="00225D9F">
              <w:rPr>
                <w:rFonts w:ascii="Book Antiqua" w:hAnsi="Book Antiqua" w:cs="Book Antiqua"/>
                <w:b/>
                <w:bCs/>
                <w:sz w:val="24"/>
                <w:szCs w:val="24"/>
              </w:rPr>
              <w:t>Oficina</w:t>
            </w:r>
          </w:p>
        </w:tc>
        <w:tc>
          <w:tcPr>
            <w:tcW w:w="2943" w:type="dxa"/>
          </w:tcPr>
          <w:p w14:paraId="3F4C51A9" w14:textId="4E3A56D7" w:rsidR="00F32D00" w:rsidRPr="00225D9F" w:rsidRDefault="00F32D00" w:rsidP="00225D9F">
            <w:pPr>
              <w:tabs>
                <w:tab w:val="num" w:pos="709"/>
              </w:tabs>
              <w:jc w:val="center"/>
              <w:rPr>
                <w:rFonts w:ascii="Book Antiqua" w:hAnsi="Book Antiqua" w:cs="Book Antiqua"/>
                <w:b/>
                <w:bCs/>
                <w:sz w:val="24"/>
                <w:szCs w:val="24"/>
              </w:rPr>
            </w:pPr>
            <w:r w:rsidRPr="00225D9F">
              <w:rPr>
                <w:rFonts w:ascii="Book Antiqua" w:hAnsi="Book Antiqua" w:cs="Book Antiqua"/>
                <w:b/>
                <w:bCs/>
                <w:sz w:val="24"/>
                <w:szCs w:val="24"/>
              </w:rPr>
              <w:t>Documento</w:t>
            </w:r>
          </w:p>
        </w:tc>
        <w:tc>
          <w:tcPr>
            <w:tcW w:w="2943" w:type="dxa"/>
          </w:tcPr>
          <w:p w14:paraId="6DE58447" w14:textId="5E26146A" w:rsidR="00F32D00" w:rsidRPr="00225D9F" w:rsidRDefault="00F32D00" w:rsidP="00225D9F">
            <w:pPr>
              <w:tabs>
                <w:tab w:val="num" w:pos="709"/>
              </w:tabs>
              <w:jc w:val="center"/>
              <w:rPr>
                <w:rFonts w:ascii="Book Antiqua" w:hAnsi="Book Antiqua" w:cs="Book Antiqua"/>
                <w:b/>
                <w:bCs/>
                <w:sz w:val="24"/>
                <w:szCs w:val="24"/>
              </w:rPr>
            </w:pPr>
            <w:r w:rsidRPr="00225D9F">
              <w:rPr>
                <w:rFonts w:ascii="Book Antiqua" w:hAnsi="Book Antiqua" w:cs="Book Antiqua"/>
                <w:b/>
                <w:bCs/>
                <w:sz w:val="24"/>
                <w:szCs w:val="24"/>
              </w:rPr>
              <w:t>Fecha de recibido</w:t>
            </w:r>
          </w:p>
        </w:tc>
      </w:tr>
      <w:tr w:rsidR="00F32D00" w14:paraId="0E5D0364" w14:textId="77777777" w:rsidTr="00225D9F">
        <w:tc>
          <w:tcPr>
            <w:tcW w:w="2942" w:type="dxa"/>
          </w:tcPr>
          <w:p w14:paraId="00DD6A51" w14:textId="21DC4B53" w:rsidR="00F32D00" w:rsidRDefault="00F32D00" w:rsidP="00F32D00">
            <w:pPr>
              <w:tabs>
                <w:tab w:val="num" w:pos="709"/>
              </w:tabs>
              <w:jc w:val="both"/>
              <w:rPr>
                <w:rFonts w:ascii="Book Antiqua" w:hAnsi="Book Antiqua" w:cs="Book Antiqua"/>
                <w:sz w:val="24"/>
                <w:szCs w:val="24"/>
              </w:rPr>
            </w:pPr>
            <w:r>
              <w:rPr>
                <w:rFonts w:ascii="Book Antiqua" w:hAnsi="Book Antiqua" w:cs="Book Antiqua"/>
                <w:sz w:val="24"/>
                <w:szCs w:val="24"/>
              </w:rPr>
              <w:t>Tribunal de Apelación Civil y de Trabajo de Cartago</w:t>
            </w:r>
          </w:p>
        </w:tc>
        <w:tc>
          <w:tcPr>
            <w:tcW w:w="2943" w:type="dxa"/>
            <w:vAlign w:val="center"/>
          </w:tcPr>
          <w:p w14:paraId="4944469E" w14:textId="2180180F" w:rsidR="00F32D00" w:rsidRDefault="00F32D00" w:rsidP="00225D9F">
            <w:pPr>
              <w:tabs>
                <w:tab w:val="num" w:pos="709"/>
              </w:tabs>
              <w:jc w:val="center"/>
              <w:rPr>
                <w:rFonts w:ascii="Book Antiqua" w:hAnsi="Book Antiqua" w:cs="Book Antiqua"/>
                <w:sz w:val="24"/>
                <w:szCs w:val="24"/>
              </w:rPr>
            </w:pPr>
            <w:r>
              <w:rPr>
                <w:rFonts w:ascii="Book Antiqua" w:hAnsi="Book Antiqua" w:cs="Book Antiqua"/>
                <w:sz w:val="24"/>
                <w:szCs w:val="24"/>
              </w:rPr>
              <w:t>Correo Electrónico</w:t>
            </w:r>
          </w:p>
        </w:tc>
        <w:tc>
          <w:tcPr>
            <w:tcW w:w="2943" w:type="dxa"/>
            <w:vAlign w:val="center"/>
          </w:tcPr>
          <w:p w14:paraId="5B560725" w14:textId="74D09238" w:rsidR="00F32D00" w:rsidRDefault="00F32D00" w:rsidP="00225D9F">
            <w:pPr>
              <w:tabs>
                <w:tab w:val="num" w:pos="709"/>
              </w:tabs>
              <w:jc w:val="center"/>
              <w:rPr>
                <w:rFonts w:ascii="Book Antiqua" w:hAnsi="Book Antiqua" w:cs="Book Antiqua"/>
                <w:sz w:val="24"/>
                <w:szCs w:val="24"/>
              </w:rPr>
            </w:pPr>
            <w:r>
              <w:rPr>
                <w:rFonts w:ascii="Book Antiqua" w:hAnsi="Book Antiqua" w:cs="Book Antiqua"/>
                <w:sz w:val="24"/>
                <w:szCs w:val="24"/>
              </w:rPr>
              <w:t>1 de julio de 2021</w:t>
            </w:r>
          </w:p>
        </w:tc>
      </w:tr>
      <w:tr w:rsidR="00F32D00" w14:paraId="4A341432" w14:textId="77777777" w:rsidTr="00225D9F">
        <w:tc>
          <w:tcPr>
            <w:tcW w:w="2942" w:type="dxa"/>
          </w:tcPr>
          <w:p w14:paraId="4B07AB74" w14:textId="7818BB05" w:rsidR="00F32D00" w:rsidRDefault="00F32D00" w:rsidP="00F32D00">
            <w:pPr>
              <w:tabs>
                <w:tab w:val="num" w:pos="709"/>
              </w:tabs>
              <w:jc w:val="both"/>
              <w:rPr>
                <w:rFonts w:ascii="Book Antiqua" w:hAnsi="Book Antiqua" w:cs="Book Antiqua"/>
                <w:sz w:val="24"/>
                <w:szCs w:val="24"/>
              </w:rPr>
            </w:pPr>
            <w:r>
              <w:rPr>
                <w:rFonts w:ascii="Book Antiqua" w:hAnsi="Book Antiqua" w:cs="Book Antiqua"/>
                <w:sz w:val="24"/>
                <w:szCs w:val="24"/>
              </w:rPr>
              <w:t>Tribunal de Apelación Civil y Laboral del I, II, III Circuito Judicial de Alajuela</w:t>
            </w:r>
          </w:p>
        </w:tc>
        <w:tc>
          <w:tcPr>
            <w:tcW w:w="2943" w:type="dxa"/>
            <w:vAlign w:val="center"/>
          </w:tcPr>
          <w:p w14:paraId="00496EB1" w14:textId="41AF7110" w:rsidR="00F32D00" w:rsidRDefault="00F32D00" w:rsidP="00225D9F">
            <w:pPr>
              <w:tabs>
                <w:tab w:val="num" w:pos="709"/>
              </w:tabs>
              <w:jc w:val="center"/>
              <w:rPr>
                <w:rFonts w:ascii="Book Antiqua" w:hAnsi="Book Antiqua" w:cs="Book Antiqua"/>
                <w:sz w:val="24"/>
                <w:szCs w:val="24"/>
              </w:rPr>
            </w:pPr>
            <w:r>
              <w:rPr>
                <w:rFonts w:ascii="Book Antiqua" w:hAnsi="Book Antiqua" w:cs="Book Antiqua"/>
                <w:sz w:val="24"/>
                <w:szCs w:val="24"/>
              </w:rPr>
              <w:t>Correo Electrónico</w:t>
            </w:r>
          </w:p>
        </w:tc>
        <w:tc>
          <w:tcPr>
            <w:tcW w:w="2943" w:type="dxa"/>
            <w:vAlign w:val="center"/>
          </w:tcPr>
          <w:p w14:paraId="1C281ED8" w14:textId="440E202A" w:rsidR="00F32D00" w:rsidRDefault="00F32D00" w:rsidP="00225D9F">
            <w:pPr>
              <w:tabs>
                <w:tab w:val="num" w:pos="709"/>
              </w:tabs>
              <w:jc w:val="center"/>
              <w:rPr>
                <w:rFonts w:ascii="Book Antiqua" w:hAnsi="Book Antiqua" w:cs="Book Antiqua"/>
                <w:sz w:val="24"/>
                <w:szCs w:val="24"/>
              </w:rPr>
            </w:pPr>
            <w:r>
              <w:rPr>
                <w:rFonts w:ascii="Book Antiqua" w:hAnsi="Book Antiqua" w:cs="Book Antiqua"/>
                <w:sz w:val="24"/>
                <w:szCs w:val="24"/>
              </w:rPr>
              <w:t>2 de julio de 2021</w:t>
            </w:r>
          </w:p>
        </w:tc>
      </w:tr>
      <w:tr w:rsidR="00F32D00" w14:paraId="24D3B8FC" w14:textId="77777777" w:rsidTr="00225D9F">
        <w:tc>
          <w:tcPr>
            <w:tcW w:w="2942" w:type="dxa"/>
          </w:tcPr>
          <w:p w14:paraId="49C3CF47" w14:textId="07E1C5B7" w:rsidR="00F32D00" w:rsidRDefault="00F32D00" w:rsidP="00F32D00">
            <w:pPr>
              <w:tabs>
                <w:tab w:val="num" w:pos="709"/>
              </w:tabs>
              <w:jc w:val="both"/>
              <w:rPr>
                <w:rFonts w:ascii="Book Antiqua" w:hAnsi="Book Antiqua" w:cs="Book Antiqua"/>
                <w:sz w:val="24"/>
                <w:szCs w:val="24"/>
              </w:rPr>
            </w:pPr>
            <w:r>
              <w:rPr>
                <w:rFonts w:ascii="Book Antiqua" w:hAnsi="Book Antiqua" w:cs="Book Antiqua"/>
                <w:sz w:val="24"/>
                <w:szCs w:val="24"/>
              </w:rPr>
              <w:t xml:space="preserve">Comisión de la Jurisdicción Laboral </w:t>
            </w:r>
          </w:p>
        </w:tc>
        <w:tc>
          <w:tcPr>
            <w:tcW w:w="2943" w:type="dxa"/>
            <w:vAlign w:val="center"/>
          </w:tcPr>
          <w:p w14:paraId="77F3C5FC" w14:textId="5A159A13" w:rsidR="00F32D00" w:rsidRDefault="00F32D00" w:rsidP="00225D9F">
            <w:pPr>
              <w:tabs>
                <w:tab w:val="num" w:pos="709"/>
              </w:tabs>
              <w:jc w:val="center"/>
              <w:rPr>
                <w:rFonts w:ascii="Book Antiqua" w:hAnsi="Book Antiqua" w:cs="Book Antiqua"/>
                <w:sz w:val="24"/>
                <w:szCs w:val="24"/>
              </w:rPr>
            </w:pPr>
            <w:r>
              <w:rPr>
                <w:rFonts w:ascii="Book Antiqua" w:hAnsi="Book Antiqua" w:cs="Book Antiqua"/>
                <w:sz w:val="24"/>
                <w:szCs w:val="24"/>
              </w:rPr>
              <w:t>Oficio 43-CJL-2021</w:t>
            </w:r>
          </w:p>
        </w:tc>
        <w:tc>
          <w:tcPr>
            <w:tcW w:w="2943" w:type="dxa"/>
            <w:vAlign w:val="center"/>
          </w:tcPr>
          <w:p w14:paraId="5DFF43AA" w14:textId="233D3BDF" w:rsidR="00F32D00" w:rsidRDefault="00F32D00" w:rsidP="00225D9F">
            <w:pPr>
              <w:tabs>
                <w:tab w:val="num" w:pos="709"/>
              </w:tabs>
              <w:jc w:val="center"/>
              <w:rPr>
                <w:rFonts w:ascii="Book Antiqua" w:hAnsi="Book Antiqua" w:cs="Book Antiqua"/>
                <w:sz w:val="24"/>
                <w:szCs w:val="24"/>
              </w:rPr>
            </w:pPr>
            <w:r>
              <w:rPr>
                <w:rFonts w:ascii="Book Antiqua" w:hAnsi="Book Antiqua" w:cs="Book Antiqua"/>
                <w:sz w:val="24"/>
                <w:szCs w:val="24"/>
              </w:rPr>
              <w:t>2 de julio de 2021</w:t>
            </w:r>
          </w:p>
        </w:tc>
      </w:tr>
      <w:tr w:rsidR="00F32D00" w14:paraId="7FB07BDB" w14:textId="77777777" w:rsidTr="00225D9F">
        <w:tc>
          <w:tcPr>
            <w:tcW w:w="2942" w:type="dxa"/>
          </w:tcPr>
          <w:p w14:paraId="353DD9E0" w14:textId="49506C96" w:rsidR="00F32D00" w:rsidRDefault="00225D9F" w:rsidP="00F32D00">
            <w:pPr>
              <w:tabs>
                <w:tab w:val="num" w:pos="709"/>
              </w:tabs>
              <w:jc w:val="both"/>
              <w:rPr>
                <w:rFonts w:ascii="Book Antiqua" w:hAnsi="Book Antiqua" w:cs="Book Antiqua"/>
                <w:sz w:val="24"/>
                <w:szCs w:val="24"/>
              </w:rPr>
            </w:pPr>
            <w:r w:rsidRPr="00225D9F">
              <w:rPr>
                <w:rFonts w:ascii="Book Antiqua" w:hAnsi="Book Antiqua" w:cs="Book Antiqua"/>
                <w:sz w:val="24"/>
                <w:szCs w:val="24"/>
              </w:rPr>
              <w:t>Centro de Apoyo, Coordinación y Mejoramiento de la Función Jurisdiccional</w:t>
            </w:r>
          </w:p>
        </w:tc>
        <w:tc>
          <w:tcPr>
            <w:tcW w:w="2943" w:type="dxa"/>
            <w:vAlign w:val="center"/>
          </w:tcPr>
          <w:p w14:paraId="20DC29BD" w14:textId="17F9AC8F" w:rsidR="00F32D00" w:rsidRDefault="00225D9F" w:rsidP="00225D9F">
            <w:pPr>
              <w:tabs>
                <w:tab w:val="num" w:pos="709"/>
              </w:tabs>
              <w:jc w:val="center"/>
              <w:rPr>
                <w:rFonts w:ascii="Book Antiqua" w:hAnsi="Book Antiqua" w:cs="Book Antiqua"/>
                <w:sz w:val="24"/>
                <w:szCs w:val="24"/>
              </w:rPr>
            </w:pPr>
            <w:r>
              <w:rPr>
                <w:rFonts w:ascii="Book Antiqua" w:hAnsi="Book Antiqua" w:cs="Book Antiqua"/>
                <w:sz w:val="24"/>
                <w:szCs w:val="24"/>
              </w:rPr>
              <w:t>Oficio 215-CACMFJ-JEF-2021</w:t>
            </w:r>
          </w:p>
        </w:tc>
        <w:tc>
          <w:tcPr>
            <w:tcW w:w="2943" w:type="dxa"/>
            <w:vAlign w:val="center"/>
          </w:tcPr>
          <w:p w14:paraId="3939F673" w14:textId="54FF450A" w:rsidR="00F32D00" w:rsidRDefault="00225D9F" w:rsidP="00225D9F">
            <w:pPr>
              <w:tabs>
                <w:tab w:val="num" w:pos="709"/>
              </w:tabs>
              <w:jc w:val="center"/>
              <w:rPr>
                <w:rFonts w:ascii="Book Antiqua" w:hAnsi="Book Antiqua" w:cs="Book Antiqua"/>
                <w:sz w:val="24"/>
                <w:szCs w:val="24"/>
              </w:rPr>
            </w:pPr>
            <w:r>
              <w:rPr>
                <w:rFonts w:ascii="Book Antiqua" w:hAnsi="Book Antiqua" w:cs="Book Antiqua"/>
                <w:sz w:val="24"/>
                <w:szCs w:val="24"/>
              </w:rPr>
              <w:t>6 de julio de 2021</w:t>
            </w:r>
          </w:p>
        </w:tc>
      </w:tr>
      <w:tr w:rsidR="00225D9F" w14:paraId="52B674BD" w14:textId="77777777" w:rsidTr="00225D9F">
        <w:tc>
          <w:tcPr>
            <w:tcW w:w="2942" w:type="dxa"/>
          </w:tcPr>
          <w:p w14:paraId="46C7BFBE" w14:textId="351582F1" w:rsidR="00225D9F" w:rsidRPr="00225D9F" w:rsidRDefault="00225D9F" w:rsidP="00F32D00">
            <w:pPr>
              <w:tabs>
                <w:tab w:val="num" w:pos="709"/>
              </w:tabs>
              <w:jc w:val="both"/>
              <w:rPr>
                <w:rFonts w:ascii="Book Antiqua" w:hAnsi="Book Antiqua" w:cs="Book Antiqua"/>
                <w:sz w:val="24"/>
                <w:szCs w:val="24"/>
              </w:rPr>
            </w:pPr>
            <w:r>
              <w:rPr>
                <w:rFonts w:ascii="Book Antiqua" w:hAnsi="Book Antiqua" w:cs="Book Antiqua"/>
                <w:sz w:val="24"/>
                <w:szCs w:val="24"/>
              </w:rPr>
              <w:t xml:space="preserve">Comisión de la Jurisdicción Civil </w:t>
            </w:r>
          </w:p>
        </w:tc>
        <w:tc>
          <w:tcPr>
            <w:tcW w:w="2943" w:type="dxa"/>
            <w:vAlign w:val="center"/>
          </w:tcPr>
          <w:p w14:paraId="7813BB1B" w14:textId="0BC55359" w:rsidR="00225D9F" w:rsidRDefault="00225D9F" w:rsidP="00225D9F">
            <w:pPr>
              <w:tabs>
                <w:tab w:val="num" w:pos="709"/>
              </w:tabs>
              <w:jc w:val="center"/>
              <w:rPr>
                <w:rFonts w:ascii="Book Antiqua" w:hAnsi="Book Antiqua" w:cs="Book Antiqua"/>
                <w:sz w:val="24"/>
                <w:szCs w:val="24"/>
              </w:rPr>
            </w:pPr>
            <w:r>
              <w:rPr>
                <w:rFonts w:ascii="Book Antiqua" w:hAnsi="Book Antiqua" w:cs="Book Antiqua"/>
                <w:sz w:val="24"/>
                <w:szCs w:val="24"/>
              </w:rPr>
              <w:t>Oficio CJC-04-2021</w:t>
            </w:r>
          </w:p>
        </w:tc>
        <w:tc>
          <w:tcPr>
            <w:tcW w:w="2943" w:type="dxa"/>
            <w:vAlign w:val="center"/>
          </w:tcPr>
          <w:p w14:paraId="27FDE7E8" w14:textId="097C4FCB" w:rsidR="00225D9F" w:rsidRDefault="00225D9F" w:rsidP="00225D9F">
            <w:pPr>
              <w:tabs>
                <w:tab w:val="num" w:pos="709"/>
              </w:tabs>
              <w:jc w:val="center"/>
              <w:rPr>
                <w:rFonts w:ascii="Book Antiqua" w:hAnsi="Book Antiqua" w:cs="Book Antiqua"/>
                <w:sz w:val="24"/>
                <w:szCs w:val="24"/>
              </w:rPr>
            </w:pPr>
            <w:r>
              <w:rPr>
                <w:rFonts w:ascii="Book Antiqua" w:hAnsi="Book Antiqua" w:cs="Book Antiqua"/>
                <w:sz w:val="24"/>
                <w:szCs w:val="24"/>
              </w:rPr>
              <w:t>3 de agosto de 2021</w:t>
            </w:r>
          </w:p>
        </w:tc>
      </w:tr>
    </w:tbl>
    <w:p w14:paraId="232797CD" w14:textId="77777777" w:rsidR="00F32D00" w:rsidRDefault="00F32D00" w:rsidP="00F32D00">
      <w:pPr>
        <w:tabs>
          <w:tab w:val="num" w:pos="709"/>
        </w:tabs>
        <w:spacing w:after="0" w:line="240" w:lineRule="auto"/>
        <w:jc w:val="both"/>
        <w:rPr>
          <w:rFonts w:ascii="Book Antiqua" w:hAnsi="Book Antiqua" w:cs="Book Antiqua"/>
          <w:sz w:val="24"/>
          <w:szCs w:val="24"/>
        </w:rPr>
      </w:pPr>
    </w:p>
    <w:p w14:paraId="0A15984D" w14:textId="38EE9BA8" w:rsidR="00EB031E" w:rsidRPr="00F32D00" w:rsidRDefault="00EB031E" w:rsidP="00F32D00">
      <w:pPr>
        <w:tabs>
          <w:tab w:val="num" w:pos="709"/>
        </w:tabs>
        <w:spacing w:after="0" w:line="240" w:lineRule="auto"/>
        <w:jc w:val="both"/>
        <w:rPr>
          <w:rFonts w:ascii="Book Antiqua" w:hAnsi="Book Antiqua" w:cs="Book Antiqua"/>
          <w:sz w:val="24"/>
          <w:szCs w:val="24"/>
        </w:rPr>
      </w:pPr>
      <w:r>
        <w:rPr>
          <w:rFonts w:ascii="Book Antiqua" w:hAnsi="Book Antiqua" w:cs="Book Antiqua"/>
          <w:sz w:val="24"/>
          <w:szCs w:val="24"/>
        </w:rPr>
        <w:t>L</w:t>
      </w:r>
      <w:r w:rsidRPr="0062006C">
        <w:rPr>
          <w:rFonts w:ascii="Book Antiqua" w:hAnsi="Book Antiqua" w:cs="Book Antiqua"/>
          <w:color w:val="000000"/>
          <w:sz w:val="24"/>
          <w:szCs w:val="24"/>
        </w:rPr>
        <w:t>as observaciones</w:t>
      </w:r>
      <w:r w:rsidRPr="0062006C">
        <w:rPr>
          <w:rFonts w:ascii="Book Antiqua" w:hAnsi="Book Antiqua" w:cs="Book Antiqua"/>
          <w:b/>
          <w:sz w:val="24"/>
          <w:szCs w:val="24"/>
        </w:rPr>
        <w:t xml:space="preserve"> </w:t>
      </w:r>
      <w:r w:rsidRPr="0062006C">
        <w:rPr>
          <w:rFonts w:ascii="Book Antiqua" w:hAnsi="Book Antiqua" w:cs="Book Antiqua"/>
          <w:sz w:val="24"/>
          <w:szCs w:val="24"/>
        </w:rPr>
        <w:t>se consideraron en lo pertinente, en el informe que se presenta.</w:t>
      </w:r>
    </w:p>
    <w:p w14:paraId="0A661A8F" w14:textId="77777777" w:rsidR="00EB031E" w:rsidRDefault="00EB031E" w:rsidP="00A950EF">
      <w:pPr>
        <w:spacing w:after="0" w:line="240" w:lineRule="auto"/>
        <w:ind w:firstLine="708"/>
        <w:jc w:val="both"/>
        <w:rPr>
          <w:rFonts w:ascii="Book Antiqua" w:hAnsi="Book Antiqua" w:cs="Book Antiqua"/>
          <w:sz w:val="24"/>
          <w:szCs w:val="24"/>
        </w:rPr>
      </w:pPr>
    </w:p>
    <w:p w14:paraId="02523CB5" w14:textId="04C9F51E" w:rsidR="003F0C6E" w:rsidRPr="0099468A" w:rsidRDefault="00C0189A" w:rsidP="00A950EF">
      <w:pPr>
        <w:widowControl w:val="0"/>
        <w:spacing w:after="0" w:line="240" w:lineRule="auto"/>
        <w:rPr>
          <w:rFonts w:ascii="Book Antiqua" w:hAnsi="Book Antiqua" w:cs="Book Antiqua"/>
          <w:snapToGrid w:val="0"/>
          <w:sz w:val="24"/>
          <w:szCs w:val="24"/>
          <w:lang w:val="pt-BR"/>
        </w:rPr>
      </w:pPr>
      <w:r w:rsidRPr="0099468A">
        <w:rPr>
          <w:rFonts w:ascii="Book Antiqua" w:hAnsi="Book Antiqua" w:cs="Book Antiqua"/>
          <w:snapToGrid w:val="0"/>
          <w:sz w:val="24"/>
          <w:szCs w:val="24"/>
          <w:lang w:val="pt-BR"/>
        </w:rPr>
        <w:t>Atentamente,</w:t>
      </w:r>
    </w:p>
    <w:p w14:paraId="0BAB2AEB" w14:textId="2B9D546D" w:rsidR="00A950EF" w:rsidRPr="0099468A" w:rsidRDefault="00A950EF" w:rsidP="00A950EF">
      <w:pPr>
        <w:spacing w:after="0" w:line="240" w:lineRule="auto"/>
        <w:rPr>
          <w:rFonts w:ascii="Book Antiqua" w:hAnsi="Book Antiqua" w:cs="Book Antiqua"/>
          <w:sz w:val="24"/>
          <w:szCs w:val="24"/>
        </w:rPr>
      </w:pPr>
    </w:p>
    <w:p w14:paraId="4E6F6238" w14:textId="77777777" w:rsidR="00A950EF" w:rsidRPr="0099468A" w:rsidRDefault="00A950EF" w:rsidP="00A950EF">
      <w:pPr>
        <w:spacing w:after="0" w:line="240" w:lineRule="auto"/>
        <w:rPr>
          <w:rFonts w:ascii="Book Antiqua" w:hAnsi="Book Antiqua" w:cs="Book Antiqua"/>
          <w:sz w:val="24"/>
          <w:szCs w:val="24"/>
        </w:rPr>
      </w:pPr>
    </w:p>
    <w:p w14:paraId="17C456ED" w14:textId="3EA43399" w:rsidR="00A950EF" w:rsidRPr="0099468A" w:rsidRDefault="00225D9F" w:rsidP="00A950EF">
      <w:pPr>
        <w:spacing w:after="0" w:line="240" w:lineRule="auto"/>
        <w:rPr>
          <w:rFonts w:ascii="Book Antiqua" w:hAnsi="Book Antiqua" w:cs="Book Antiqua"/>
          <w:sz w:val="24"/>
          <w:szCs w:val="24"/>
        </w:rPr>
      </w:pPr>
      <w:r>
        <w:rPr>
          <w:rFonts w:ascii="Book Antiqua" w:hAnsi="Book Antiqua" w:cs="Book Antiqua"/>
          <w:sz w:val="24"/>
          <w:szCs w:val="24"/>
        </w:rPr>
        <w:t xml:space="preserve">Ing. </w:t>
      </w:r>
      <w:r w:rsidR="00187749" w:rsidRPr="0099468A">
        <w:rPr>
          <w:rFonts w:ascii="Book Antiqua" w:hAnsi="Book Antiqua" w:cs="Book Antiqua"/>
          <w:sz w:val="24"/>
          <w:szCs w:val="24"/>
        </w:rPr>
        <w:t>Dixon Li Morales</w:t>
      </w:r>
      <w:r w:rsidR="00A950EF" w:rsidRPr="0099468A">
        <w:rPr>
          <w:rFonts w:ascii="Book Antiqua" w:hAnsi="Book Antiqua" w:cs="Book Antiqua"/>
          <w:sz w:val="24"/>
          <w:szCs w:val="24"/>
        </w:rPr>
        <w:t>, Jefe a.i.</w:t>
      </w:r>
    </w:p>
    <w:p w14:paraId="673F2EEB" w14:textId="2F3BFE73" w:rsidR="00A54E56" w:rsidRPr="0099468A" w:rsidRDefault="00187749" w:rsidP="00A950EF">
      <w:pPr>
        <w:spacing w:after="0" w:line="240" w:lineRule="auto"/>
        <w:rPr>
          <w:rFonts w:ascii="Book Antiqua" w:hAnsi="Book Antiqua" w:cs="Book Antiqua"/>
          <w:sz w:val="24"/>
          <w:szCs w:val="24"/>
        </w:rPr>
      </w:pPr>
      <w:r w:rsidRPr="0099468A">
        <w:rPr>
          <w:rFonts w:ascii="Book Antiqua" w:hAnsi="Book Antiqua" w:cs="Book Antiqua"/>
          <w:sz w:val="24"/>
          <w:szCs w:val="24"/>
        </w:rPr>
        <w:t>Subproceso de Ejecución de las</w:t>
      </w:r>
      <w:r w:rsidR="00A54E56" w:rsidRPr="0099468A">
        <w:rPr>
          <w:rFonts w:ascii="Book Antiqua" w:hAnsi="Book Antiqua" w:cs="Book Antiqua"/>
          <w:sz w:val="24"/>
          <w:szCs w:val="24"/>
        </w:rPr>
        <w:t xml:space="preserve"> </w:t>
      </w:r>
      <w:r w:rsidRPr="0099468A" w:rsidDel="00C34031">
        <w:rPr>
          <w:rFonts w:ascii="Book Antiqua" w:hAnsi="Book Antiqua" w:cs="Book Antiqua"/>
          <w:sz w:val="24"/>
          <w:szCs w:val="24"/>
        </w:rPr>
        <w:t>Operaciones</w:t>
      </w:r>
    </w:p>
    <w:p w14:paraId="53AA101A" w14:textId="62D94406" w:rsidR="00C0189A" w:rsidRDefault="00C0189A" w:rsidP="00A950EF">
      <w:pPr>
        <w:spacing w:after="0" w:line="240" w:lineRule="auto"/>
        <w:rPr>
          <w:rFonts w:ascii="Book Antiqua" w:hAnsi="Book Antiqua" w:cs="Book Antiqua"/>
          <w:snapToGrid w:val="0"/>
          <w:sz w:val="24"/>
          <w:szCs w:val="24"/>
        </w:rPr>
      </w:pPr>
    </w:p>
    <w:p w14:paraId="44137FB5" w14:textId="77777777" w:rsidR="000336B5" w:rsidRPr="0099468A" w:rsidRDefault="000336B5" w:rsidP="00A950EF">
      <w:pPr>
        <w:spacing w:after="0" w:line="240" w:lineRule="auto"/>
        <w:rPr>
          <w:rFonts w:ascii="Book Antiqua" w:hAnsi="Book Antiqua" w:cs="Book Antiqua"/>
          <w:snapToGrid w:val="0"/>
          <w:sz w:val="24"/>
          <w:szCs w:val="24"/>
        </w:rPr>
      </w:pPr>
    </w:p>
    <w:p w14:paraId="3E389295" w14:textId="77777777" w:rsidR="00C0189A" w:rsidRPr="009A2B72" w:rsidRDefault="00C0189A" w:rsidP="00A950EF">
      <w:pPr>
        <w:pStyle w:val="paragraph"/>
        <w:spacing w:before="0" w:beforeAutospacing="0" w:after="0" w:afterAutospacing="0"/>
        <w:jc w:val="both"/>
        <w:textAlignment w:val="baseline"/>
        <w:rPr>
          <w:rFonts w:ascii="Book Antiqua" w:hAnsi="Book Antiqua" w:cs="Segoe UI"/>
        </w:rPr>
      </w:pPr>
      <w:r w:rsidRPr="009A2B72">
        <w:rPr>
          <w:rStyle w:val="normaltextrun"/>
          <w:rFonts w:ascii="Book Antiqua" w:hAnsi="Book Antiqua" w:cs="Segoe UI"/>
        </w:rPr>
        <w:t>Copias: </w:t>
      </w:r>
      <w:r w:rsidRPr="009A2B72">
        <w:rPr>
          <w:rStyle w:val="eop"/>
          <w:rFonts w:ascii="Book Antiqua" w:hAnsi="Book Antiqua" w:cs="Segoe UI"/>
        </w:rPr>
        <w:t> </w:t>
      </w:r>
    </w:p>
    <w:p w14:paraId="217B95E4" w14:textId="77777777" w:rsidR="00225D9F" w:rsidRPr="00225D9F" w:rsidRDefault="00225D9F" w:rsidP="00225D9F">
      <w:pPr>
        <w:pStyle w:val="paragraph"/>
        <w:numPr>
          <w:ilvl w:val="0"/>
          <w:numId w:val="33"/>
        </w:numPr>
        <w:spacing w:after="0"/>
        <w:jc w:val="both"/>
        <w:textAlignment w:val="baseline"/>
        <w:rPr>
          <w:rFonts w:ascii="Book Antiqua" w:hAnsi="Book Antiqua" w:cs="Segoe UI"/>
        </w:rPr>
      </w:pPr>
      <w:r w:rsidRPr="00225D9F">
        <w:rPr>
          <w:rFonts w:ascii="Book Antiqua" w:hAnsi="Book Antiqua" w:cs="Segoe UI"/>
        </w:rPr>
        <w:t xml:space="preserve">Comisión de Jurisdicción Civil </w:t>
      </w:r>
    </w:p>
    <w:p w14:paraId="7E9DCEB7" w14:textId="77777777" w:rsidR="00225D9F" w:rsidRDefault="00225D9F" w:rsidP="00225D9F">
      <w:pPr>
        <w:pStyle w:val="paragraph"/>
        <w:numPr>
          <w:ilvl w:val="0"/>
          <w:numId w:val="33"/>
        </w:numPr>
        <w:spacing w:after="0"/>
        <w:jc w:val="both"/>
        <w:textAlignment w:val="baseline"/>
        <w:rPr>
          <w:rFonts w:ascii="Book Antiqua" w:hAnsi="Book Antiqua" w:cs="Segoe UI"/>
        </w:rPr>
      </w:pPr>
      <w:r w:rsidRPr="00225D9F">
        <w:rPr>
          <w:rFonts w:ascii="Book Antiqua" w:hAnsi="Book Antiqua" w:cs="Segoe UI"/>
        </w:rPr>
        <w:t>Comisión de Jurisdicción Laboral</w:t>
      </w:r>
    </w:p>
    <w:p w14:paraId="7C2F76B4" w14:textId="77777777" w:rsidR="00225D9F" w:rsidRDefault="00225D9F" w:rsidP="00225D9F">
      <w:pPr>
        <w:pStyle w:val="paragraph"/>
        <w:numPr>
          <w:ilvl w:val="0"/>
          <w:numId w:val="33"/>
        </w:numPr>
        <w:spacing w:after="0"/>
        <w:jc w:val="both"/>
        <w:textAlignment w:val="baseline"/>
        <w:rPr>
          <w:rFonts w:ascii="Book Antiqua" w:hAnsi="Book Antiqua" w:cs="Segoe UI"/>
        </w:rPr>
      </w:pPr>
      <w:r w:rsidRPr="00225D9F">
        <w:rPr>
          <w:rFonts w:ascii="Book Antiqua" w:hAnsi="Book Antiqua" w:cs="Segoe UI"/>
        </w:rPr>
        <w:t>Tribunal de Apelación Civil y Trabajo de Pérez Zeledón</w:t>
      </w:r>
    </w:p>
    <w:p w14:paraId="6B819A76" w14:textId="77777777" w:rsidR="00225D9F" w:rsidRDefault="00225D9F" w:rsidP="00225D9F">
      <w:pPr>
        <w:pStyle w:val="paragraph"/>
        <w:numPr>
          <w:ilvl w:val="0"/>
          <w:numId w:val="33"/>
        </w:numPr>
        <w:spacing w:after="0"/>
        <w:jc w:val="both"/>
        <w:textAlignment w:val="baseline"/>
        <w:rPr>
          <w:rFonts w:ascii="Book Antiqua" w:hAnsi="Book Antiqua" w:cs="Segoe UI"/>
        </w:rPr>
      </w:pPr>
      <w:r w:rsidRPr="00225D9F">
        <w:rPr>
          <w:rFonts w:ascii="Book Antiqua" w:hAnsi="Book Antiqua" w:cs="Segoe UI"/>
        </w:rPr>
        <w:t>Tribunal de Apelación Civil y Trabajo de Alajuela</w:t>
      </w:r>
    </w:p>
    <w:p w14:paraId="79F33B46" w14:textId="785EE4EF" w:rsidR="00225D9F" w:rsidRPr="00225D9F" w:rsidRDefault="00225D9F" w:rsidP="00225D9F">
      <w:pPr>
        <w:pStyle w:val="paragraph"/>
        <w:numPr>
          <w:ilvl w:val="0"/>
          <w:numId w:val="33"/>
        </w:numPr>
        <w:spacing w:after="0"/>
        <w:jc w:val="both"/>
        <w:textAlignment w:val="baseline"/>
        <w:rPr>
          <w:rFonts w:ascii="Book Antiqua" w:hAnsi="Book Antiqua" w:cs="Segoe UI"/>
        </w:rPr>
      </w:pPr>
      <w:r w:rsidRPr="00225D9F">
        <w:rPr>
          <w:rFonts w:ascii="Book Antiqua" w:hAnsi="Book Antiqua" w:cs="Segoe UI"/>
        </w:rPr>
        <w:t>Tribunal de Apelación Civil y Trabajo de Cartago</w:t>
      </w:r>
    </w:p>
    <w:p w14:paraId="52957D4C" w14:textId="77777777" w:rsidR="00225D9F" w:rsidRDefault="00225D9F" w:rsidP="00225D9F">
      <w:pPr>
        <w:pStyle w:val="paragraph"/>
        <w:numPr>
          <w:ilvl w:val="0"/>
          <w:numId w:val="33"/>
        </w:numPr>
        <w:spacing w:after="0"/>
        <w:jc w:val="both"/>
        <w:textAlignment w:val="baseline"/>
        <w:rPr>
          <w:rFonts w:ascii="Book Antiqua" w:hAnsi="Book Antiqua" w:cs="Segoe UI"/>
        </w:rPr>
      </w:pPr>
      <w:r w:rsidRPr="00225D9F">
        <w:rPr>
          <w:rFonts w:ascii="Book Antiqua" w:hAnsi="Book Antiqua" w:cs="Segoe UI"/>
        </w:rPr>
        <w:lastRenderedPageBreak/>
        <w:t>Tribunal de Apelación Civil y Trabajo de Heredi</w:t>
      </w:r>
      <w:r>
        <w:rPr>
          <w:rFonts w:ascii="Book Antiqua" w:hAnsi="Book Antiqua" w:cs="Segoe UI"/>
        </w:rPr>
        <w:t>a</w:t>
      </w:r>
    </w:p>
    <w:p w14:paraId="6D720E9F" w14:textId="77777777" w:rsidR="00225D9F" w:rsidRDefault="00225D9F" w:rsidP="00225D9F">
      <w:pPr>
        <w:pStyle w:val="paragraph"/>
        <w:numPr>
          <w:ilvl w:val="0"/>
          <w:numId w:val="33"/>
        </w:numPr>
        <w:spacing w:after="0"/>
        <w:jc w:val="both"/>
        <w:textAlignment w:val="baseline"/>
        <w:rPr>
          <w:rFonts w:ascii="Book Antiqua" w:hAnsi="Book Antiqua" w:cs="Segoe UI"/>
        </w:rPr>
      </w:pPr>
      <w:r w:rsidRPr="00225D9F">
        <w:rPr>
          <w:rFonts w:ascii="Book Antiqua" w:hAnsi="Book Antiqua" w:cs="Segoe UI"/>
        </w:rPr>
        <w:t>Tribunal de Apelación Civil y Trabajo de Liberia</w:t>
      </w:r>
    </w:p>
    <w:p w14:paraId="4871AFFB" w14:textId="1EF66449" w:rsidR="00225D9F" w:rsidRPr="00225D9F" w:rsidRDefault="00225D9F" w:rsidP="00225D9F">
      <w:pPr>
        <w:pStyle w:val="paragraph"/>
        <w:numPr>
          <w:ilvl w:val="0"/>
          <w:numId w:val="33"/>
        </w:numPr>
        <w:spacing w:after="0"/>
        <w:jc w:val="both"/>
        <w:textAlignment w:val="baseline"/>
        <w:rPr>
          <w:rFonts w:ascii="Book Antiqua" w:hAnsi="Book Antiqua" w:cs="Segoe UI"/>
        </w:rPr>
      </w:pPr>
      <w:r w:rsidRPr="00225D9F">
        <w:rPr>
          <w:rFonts w:ascii="Book Antiqua" w:hAnsi="Book Antiqua" w:cs="Segoe UI"/>
        </w:rPr>
        <w:t>Tribunal de Apelación Civil y Trabajo de Puntarenas</w:t>
      </w:r>
    </w:p>
    <w:p w14:paraId="0785DF52" w14:textId="01B97213" w:rsidR="00225D9F" w:rsidRPr="00225D9F" w:rsidRDefault="00225D9F" w:rsidP="00225D9F">
      <w:pPr>
        <w:pStyle w:val="paragraph"/>
        <w:numPr>
          <w:ilvl w:val="0"/>
          <w:numId w:val="33"/>
        </w:numPr>
        <w:spacing w:after="0"/>
        <w:jc w:val="both"/>
        <w:textAlignment w:val="baseline"/>
        <w:rPr>
          <w:rFonts w:ascii="Book Antiqua" w:hAnsi="Book Antiqua" w:cs="Segoe UI"/>
        </w:rPr>
      </w:pPr>
      <w:r w:rsidRPr="00225D9F">
        <w:rPr>
          <w:rFonts w:ascii="Book Antiqua" w:hAnsi="Book Antiqua" w:cs="Segoe UI"/>
        </w:rPr>
        <w:t>Tribunal de Apelación Civil y Trabajo de Limón</w:t>
      </w:r>
    </w:p>
    <w:p w14:paraId="6F349FDC" w14:textId="60A59A7E" w:rsidR="008C3126" w:rsidRPr="006E6CBA" w:rsidRDefault="000336B5" w:rsidP="00CD2597">
      <w:pPr>
        <w:pStyle w:val="paragraph"/>
        <w:numPr>
          <w:ilvl w:val="0"/>
          <w:numId w:val="33"/>
        </w:numPr>
        <w:spacing w:before="0" w:beforeAutospacing="0" w:after="0" w:afterAutospacing="0"/>
        <w:jc w:val="both"/>
        <w:textAlignment w:val="baseline"/>
        <w:rPr>
          <w:rFonts w:ascii="Book Antiqua" w:hAnsi="Book Antiqua" w:cs="Segoe UI"/>
        </w:rPr>
      </w:pPr>
      <w:r w:rsidRPr="00225D9F">
        <w:rPr>
          <w:rFonts w:ascii="Book Antiqua" w:hAnsi="Book Antiqua" w:cs="Book Antiqua"/>
        </w:rPr>
        <w:t xml:space="preserve">Centro de Apoyo, Coordinación y Mejoramiento de la Función Jurisdiccional </w:t>
      </w:r>
    </w:p>
    <w:p w14:paraId="4C24C344" w14:textId="77777777" w:rsidR="006E6CBA" w:rsidRPr="00225D9F" w:rsidRDefault="006E6CBA" w:rsidP="006E6CBA">
      <w:pPr>
        <w:pStyle w:val="paragraph"/>
        <w:spacing w:before="0" w:beforeAutospacing="0" w:after="0" w:afterAutospacing="0"/>
        <w:ind w:left="720"/>
        <w:jc w:val="both"/>
        <w:textAlignment w:val="baseline"/>
        <w:rPr>
          <w:rFonts w:ascii="Book Antiqua" w:hAnsi="Book Antiqua" w:cs="Segoe UI"/>
        </w:rPr>
      </w:pPr>
    </w:p>
    <w:p w14:paraId="33B630F5" w14:textId="77777777" w:rsidR="00225D9F" w:rsidRDefault="009A2B72" w:rsidP="009A2B72">
      <w:pPr>
        <w:pStyle w:val="paragraph"/>
        <w:numPr>
          <w:ilvl w:val="0"/>
          <w:numId w:val="33"/>
        </w:numPr>
        <w:tabs>
          <w:tab w:val="left" w:pos="1134"/>
        </w:tabs>
        <w:spacing w:before="0" w:beforeAutospacing="0" w:after="0" w:afterAutospacing="0"/>
        <w:jc w:val="both"/>
        <w:textAlignment w:val="baseline"/>
        <w:rPr>
          <w:rFonts w:ascii="Book Antiqua" w:eastAsiaTheme="minorHAnsi" w:hAnsi="Book Antiqua" w:cstheme="minorBidi"/>
          <w:lang w:eastAsia="en-US" w:bidi="en-US"/>
        </w:rPr>
      </w:pPr>
      <w:r w:rsidRPr="009A2B72">
        <w:rPr>
          <w:rFonts w:ascii="Book Antiqua" w:eastAsiaTheme="minorHAnsi" w:hAnsi="Book Antiqua" w:cstheme="minorBidi"/>
          <w:lang w:eastAsia="en-US" w:bidi="en-US"/>
        </w:rPr>
        <w:t xml:space="preserve">Máster Lourdes Montenegro Espinoza, </w:t>
      </w:r>
      <w:r w:rsidR="00B31EF1">
        <w:rPr>
          <w:rFonts w:ascii="Book Antiqua" w:eastAsiaTheme="minorHAnsi" w:hAnsi="Book Antiqua" w:cstheme="minorBidi"/>
          <w:lang w:eastAsia="en-US" w:bidi="en-US"/>
        </w:rPr>
        <w:t xml:space="preserve">Jueza </w:t>
      </w:r>
      <w:r w:rsidRPr="009A2B72">
        <w:rPr>
          <w:rFonts w:ascii="Book Antiqua" w:eastAsiaTheme="minorHAnsi" w:hAnsi="Book Antiqua" w:cstheme="minorBidi"/>
          <w:lang w:eastAsia="en-US" w:bidi="en-US"/>
        </w:rPr>
        <w:t>Gestora</w:t>
      </w:r>
    </w:p>
    <w:p w14:paraId="57DD39BE" w14:textId="77777777" w:rsidR="006E6CBA" w:rsidRDefault="00225D9F" w:rsidP="00225D9F">
      <w:pPr>
        <w:pStyle w:val="paragraph"/>
        <w:tabs>
          <w:tab w:val="left" w:pos="1134"/>
        </w:tabs>
        <w:spacing w:before="0" w:beforeAutospacing="0" w:after="0" w:afterAutospacing="0"/>
        <w:ind w:left="720"/>
        <w:jc w:val="both"/>
        <w:textAlignment w:val="baseline"/>
        <w:rPr>
          <w:rFonts w:ascii="Book Antiqua" w:eastAsiaTheme="minorHAnsi" w:hAnsi="Book Antiqua" w:cstheme="minorBidi"/>
          <w:lang w:eastAsia="en-US" w:bidi="en-US"/>
        </w:rPr>
      </w:pPr>
      <w:r>
        <w:rPr>
          <w:rFonts w:ascii="Book Antiqua" w:eastAsiaTheme="minorHAnsi" w:hAnsi="Book Antiqua" w:cstheme="minorBidi"/>
          <w:lang w:eastAsia="en-US" w:bidi="en-US"/>
        </w:rPr>
        <w:t>M</w:t>
      </w:r>
      <w:r w:rsidR="00B31EF1">
        <w:rPr>
          <w:rFonts w:ascii="Book Antiqua" w:eastAsiaTheme="minorHAnsi" w:hAnsi="Book Antiqua" w:cstheme="minorBidi"/>
          <w:lang w:eastAsia="en-US" w:bidi="en-US"/>
        </w:rPr>
        <w:t>ateria de Trabajo</w:t>
      </w:r>
    </w:p>
    <w:p w14:paraId="2C208360" w14:textId="13F923C0" w:rsidR="00225D9F" w:rsidRDefault="00301765" w:rsidP="00225D9F">
      <w:pPr>
        <w:pStyle w:val="paragraph"/>
        <w:tabs>
          <w:tab w:val="left" w:pos="1134"/>
        </w:tabs>
        <w:spacing w:before="0" w:beforeAutospacing="0" w:after="0" w:afterAutospacing="0"/>
        <w:ind w:left="720"/>
        <w:jc w:val="both"/>
        <w:textAlignment w:val="baseline"/>
        <w:rPr>
          <w:rFonts w:ascii="Book Antiqua" w:eastAsiaTheme="minorHAnsi" w:hAnsi="Book Antiqua" w:cstheme="minorBidi"/>
          <w:lang w:eastAsia="en-US" w:bidi="en-US"/>
        </w:rPr>
      </w:pPr>
      <w:r>
        <w:rPr>
          <w:rFonts w:ascii="Book Antiqua" w:eastAsiaTheme="minorHAnsi" w:hAnsi="Book Antiqua" w:cstheme="minorBidi"/>
          <w:lang w:eastAsia="en-US" w:bidi="en-US"/>
        </w:rPr>
        <w:t xml:space="preserve"> </w:t>
      </w:r>
    </w:p>
    <w:p w14:paraId="2C0724F8" w14:textId="77777777" w:rsidR="006E6CBA" w:rsidRDefault="006E6CBA" w:rsidP="006E6CBA">
      <w:pPr>
        <w:pStyle w:val="paragraph"/>
        <w:numPr>
          <w:ilvl w:val="0"/>
          <w:numId w:val="33"/>
        </w:numPr>
        <w:tabs>
          <w:tab w:val="left" w:pos="1134"/>
        </w:tabs>
        <w:spacing w:before="0" w:beforeAutospacing="0" w:after="0" w:afterAutospacing="0"/>
        <w:jc w:val="both"/>
        <w:textAlignment w:val="baseline"/>
        <w:rPr>
          <w:rFonts w:ascii="Book Antiqua" w:eastAsiaTheme="minorHAnsi" w:hAnsi="Book Antiqua" w:cstheme="minorBidi"/>
          <w:lang w:eastAsia="en-US" w:bidi="en-US"/>
        </w:rPr>
      </w:pPr>
      <w:r w:rsidRPr="006E6CBA">
        <w:rPr>
          <w:rFonts w:ascii="Book Antiqua" w:eastAsiaTheme="minorHAnsi" w:hAnsi="Book Antiqua" w:cstheme="minorBidi"/>
          <w:lang w:eastAsia="en-US" w:bidi="en-US"/>
        </w:rPr>
        <w:t>Licda. Adriana María Sequeira Muñoz, Gestora</w:t>
      </w:r>
    </w:p>
    <w:p w14:paraId="10B643C4" w14:textId="3B0430CC" w:rsidR="006E6CBA" w:rsidRDefault="006E6CBA" w:rsidP="006E6CBA">
      <w:pPr>
        <w:pStyle w:val="paragraph"/>
        <w:tabs>
          <w:tab w:val="left" w:pos="1134"/>
        </w:tabs>
        <w:spacing w:before="0" w:beforeAutospacing="0" w:after="0" w:afterAutospacing="0"/>
        <w:ind w:left="720"/>
        <w:jc w:val="both"/>
        <w:textAlignment w:val="baseline"/>
        <w:rPr>
          <w:rFonts w:ascii="Book Antiqua" w:eastAsiaTheme="minorHAnsi" w:hAnsi="Book Antiqua" w:cstheme="minorBidi"/>
          <w:lang w:eastAsia="en-US" w:bidi="en-US"/>
        </w:rPr>
      </w:pPr>
      <w:r w:rsidRPr="006E6CBA">
        <w:rPr>
          <w:rFonts w:ascii="Book Antiqua" w:eastAsiaTheme="minorHAnsi" w:hAnsi="Book Antiqua" w:cstheme="minorBidi"/>
          <w:lang w:eastAsia="en-US" w:bidi="en-US"/>
        </w:rPr>
        <w:t>Reforma Procesal Civil</w:t>
      </w:r>
    </w:p>
    <w:p w14:paraId="2AD0DBA6" w14:textId="77777777" w:rsidR="006E6CBA" w:rsidRDefault="006E6CBA" w:rsidP="006E6CBA">
      <w:pPr>
        <w:pStyle w:val="paragraph"/>
        <w:tabs>
          <w:tab w:val="left" w:pos="1134"/>
        </w:tabs>
        <w:spacing w:before="0" w:beforeAutospacing="0" w:after="0" w:afterAutospacing="0"/>
        <w:ind w:left="720"/>
        <w:jc w:val="both"/>
        <w:textAlignment w:val="baseline"/>
        <w:rPr>
          <w:rFonts w:ascii="Book Antiqua" w:eastAsiaTheme="minorHAnsi" w:hAnsi="Book Antiqua" w:cstheme="minorBidi"/>
          <w:lang w:eastAsia="en-US" w:bidi="en-US"/>
        </w:rPr>
      </w:pPr>
    </w:p>
    <w:p w14:paraId="693A5536" w14:textId="77777777" w:rsidR="006E6CBA" w:rsidRDefault="006E6CBA" w:rsidP="006E6CBA">
      <w:pPr>
        <w:pStyle w:val="paragraph"/>
        <w:numPr>
          <w:ilvl w:val="0"/>
          <w:numId w:val="33"/>
        </w:numPr>
        <w:tabs>
          <w:tab w:val="left" w:pos="1134"/>
        </w:tabs>
        <w:spacing w:before="0" w:beforeAutospacing="0" w:after="0" w:afterAutospacing="0"/>
        <w:jc w:val="both"/>
        <w:textAlignment w:val="baseline"/>
        <w:rPr>
          <w:rFonts w:ascii="Book Antiqua" w:eastAsiaTheme="minorHAnsi" w:hAnsi="Book Antiqua" w:cstheme="minorBidi"/>
          <w:lang w:eastAsia="en-US" w:bidi="en-US"/>
        </w:rPr>
      </w:pPr>
      <w:r w:rsidRPr="006E6CBA">
        <w:rPr>
          <w:rFonts w:ascii="Book Antiqua" w:eastAsiaTheme="minorHAnsi" w:hAnsi="Book Antiqua" w:cstheme="minorBidi"/>
          <w:lang w:eastAsia="en-US" w:bidi="en-US"/>
        </w:rPr>
        <w:t>Lic. Greivin Steven Mora Alvarado, Gestor</w:t>
      </w:r>
    </w:p>
    <w:p w14:paraId="0FF4F27D" w14:textId="77777777" w:rsidR="006E6CBA" w:rsidRDefault="006E6CBA" w:rsidP="006E6CBA">
      <w:pPr>
        <w:pStyle w:val="paragraph"/>
        <w:tabs>
          <w:tab w:val="left" w:pos="1134"/>
        </w:tabs>
        <w:spacing w:before="0" w:beforeAutospacing="0" w:after="0" w:afterAutospacing="0"/>
        <w:ind w:left="720"/>
        <w:jc w:val="both"/>
        <w:textAlignment w:val="baseline"/>
        <w:rPr>
          <w:rFonts w:ascii="Book Antiqua" w:eastAsiaTheme="minorHAnsi" w:hAnsi="Book Antiqua" w:cstheme="minorBidi"/>
          <w:lang w:eastAsia="en-US" w:bidi="en-US"/>
        </w:rPr>
      </w:pPr>
      <w:r w:rsidRPr="006E6CBA">
        <w:rPr>
          <w:rFonts w:ascii="Book Antiqua" w:eastAsiaTheme="minorHAnsi" w:hAnsi="Book Antiqua" w:cstheme="minorBidi"/>
          <w:lang w:eastAsia="en-US" w:bidi="en-US"/>
        </w:rPr>
        <w:t>Reforma Procesal Civil</w:t>
      </w:r>
    </w:p>
    <w:p w14:paraId="6800211A" w14:textId="77777777" w:rsidR="006E6CBA" w:rsidRDefault="006E6CBA" w:rsidP="006E6CBA">
      <w:pPr>
        <w:pStyle w:val="paragraph"/>
        <w:tabs>
          <w:tab w:val="left" w:pos="1134"/>
        </w:tabs>
        <w:spacing w:before="0" w:beforeAutospacing="0" w:after="0" w:afterAutospacing="0"/>
        <w:jc w:val="both"/>
        <w:textAlignment w:val="baseline"/>
        <w:rPr>
          <w:rFonts w:ascii="Book Antiqua" w:eastAsiaTheme="minorHAnsi" w:hAnsi="Book Antiqua" w:cstheme="minorBidi"/>
          <w:lang w:eastAsia="en-US" w:bidi="en-US"/>
        </w:rPr>
      </w:pPr>
    </w:p>
    <w:p w14:paraId="3F636A86" w14:textId="622607A5" w:rsidR="000336B5" w:rsidRPr="006E6CBA" w:rsidRDefault="000336B5" w:rsidP="006E6CBA">
      <w:pPr>
        <w:pStyle w:val="paragraph"/>
        <w:numPr>
          <w:ilvl w:val="0"/>
          <w:numId w:val="33"/>
        </w:numPr>
        <w:tabs>
          <w:tab w:val="left" w:pos="1134"/>
        </w:tabs>
        <w:spacing w:before="0" w:beforeAutospacing="0" w:after="0" w:afterAutospacing="0"/>
        <w:jc w:val="both"/>
        <w:textAlignment w:val="baseline"/>
        <w:rPr>
          <w:rFonts w:ascii="Book Antiqua" w:eastAsiaTheme="minorHAnsi" w:hAnsi="Book Antiqua" w:cstheme="minorBidi"/>
          <w:lang w:eastAsia="en-US" w:bidi="en-US"/>
        </w:rPr>
      </w:pPr>
      <w:r w:rsidRPr="009A2B72">
        <w:rPr>
          <w:rFonts w:ascii="Book Antiqua" w:eastAsiaTheme="minorHAnsi" w:hAnsi="Book Antiqua" w:cstheme="minorBidi"/>
          <w:lang w:eastAsia="en-US" w:bidi="en-US"/>
        </w:rPr>
        <w:t>Archivo</w:t>
      </w:r>
    </w:p>
    <w:bookmarkEnd w:id="0"/>
    <w:p w14:paraId="6DD2A3B9" w14:textId="3B172150" w:rsidR="00A950EF" w:rsidRPr="009A2B72" w:rsidRDefault="00A950EF" w:rsidP="00A950EF">
      <w:pPr>
        <w:spacing w:after="0" w:line="240" w:lineRule="auto"/>
        <w:rPr>
          <w:rFonts w:ascii="Book Antiqua" w:hAnsi="Book Antiqua" w:cs="Book Antiqua"/>
          <w:sz w:val="24"/>
          <w:szCs w:val="24"/>
          <w:highlight w:val="yellow"/>
        </w:rPr>
      </w:pPr>
    </w:p>
    <w:p w14:paraId="0165DCBF" w14:textId="77777777" w:rsidR="000336B5" w:rsidRPr="009A2B72" w:rsidRDefault="000336B5" w:rsidP="00A950EF">
      <w:pPr>
        <w:spacing w:after="0" w:line="240" w:lineRule="auto"/>
        <w:rPr>
          <w:rFonts w:ascii="Book Antiqua" w:hAnsi="Book Antiqua" w:cs="Book Antiqua"/>
          <w:sz w:val="24"/>
          <w:szCs w:val="24"/>
          <w:highlight w:val="yellow"/>
        </w:rPr>
      </w:pPr>
    </w:p>
    <w:p w14:paraId="5D87045B" w14:textId="19E60692" w:rsidR="00A950EF" w:rsidRPr="009A2B72" w:rsidRDefault="006E6CBA" w:rsidP="00A950EF">
      <w:pPr>
        <w:spacing w:after="0" w:line="240" w:lineRule="auto"/>
        <w:rPr>
          <w:rFonts w:ascii="Book Antiqua" w:hAnsi="Book Antiqua" w:cs="Book Antiqua"/>
          <w:sz w:val="24"/>
          <w:szCs w:val="24"/>
        </w:rPr>
      </w:pPr>
      <w:r>
        <w:rPr>
          <w:rFonts w:ascii="Book Antiqua" w:hAnsi="Book Antiqua" w:cs="Book Antiqua"/>
          <w:sz w:val="24"/>
          <w:szCs w:val="24"/>
        </w:rPr>
        <w:t>rqp</w:t>
      </w:r>
    </w:p>
    <w:p w14:paraId="4F911ACD" w14:textId="3D08039E" w:rsidR="00A950EF" w:rsidRPr="009A2B72" w:rsidRDefault="00A950EF" w:rsidP="00A950EF">
      <w:pPr>
        <w:spacing w:after="0" w:line="240" w:lineRule="auto"/>
        <w:rPr>
          <w:rFonts w:ascii="Book Antiqua" w:hAnsi="Book Antiqua" w:cstheme="minorHAnsi"/>
          <w:sz w:val="24"/>
          <w:szCs w:val="24"/>
        </w:rPr>
      </w:pPr>
      <w:r w:rsidRPr="009A2B72">
        <w:rPr>
          <w:rFonts w:ascii="Book Antiqua" w:hAnsi="Book Antiqua" w:cs="Book Antiqua"/>
          <w:sz w:val="24"/>
          <w:szCs w:val="24"/>
        </w:rPr>
        <w:t>Ref</w:t>
      </w:r>
      <w:r w:rsidR="006E6CBA">
        <w:rPr>
          <w:rFonts w:ascii="Book Antiqua" w:hAnsi="Book Antiqua" w:cs="Book Antiqua"/>
          <w:sz w:val="24"/>
          <w:szCs w:val="24"/>
        </w:rPr>
        <w:t xml:space="preserve">. </w:t>
      </w:r>
      <w:r w:rsidRPr="009A2B72">
        <w:rPr>
          <w:rFonts w:ascii="Book Antiqua" w:hAnsi="Book Antiqua" w:cs="Book Antiqua"/>
          <w:b/>
          <w:bCs/>
          <w:color w:val="000000" w:themeColor="text1"/>
          <w:sz w:val="24"/>
          <w:szCs w:val="24"/>
        </w:rPr>
        <w:t>84-18,</w:t>
      </w:r>
      <w:r w:rsidR="000336B5" w:rsidRPr="009A2B72">
        <w:rPr>
          <w:rFonts w:ascii="Book Antiqua" w:hAnsi="Book Antiqua" w:cs="Book Antiqua"/>
          <w:b/>
          <w:bCs/>
          <w:color w:val="000000" w:themeColor="text1"/>
          <w:sz w:val="24"/>
          <w:szCs w:val="24"/>
        </w:rPr>
        <w:t xml:space="preserve"> </w:t>
      </w:r>
      <w:r w:rsidRPr="009A2B72">
        <w:rPr>
          <w:rFonts w:ascii="Book Antiqua" w:hAnsi="Book Antiqua" w:cs="Book Antiqua"/>
          <w:color w:val="000000" w:themeColor="text1"/>
          <w:sz w:val="24"/>
          <w:szCs w:val="24"/>
        </w:rPr>
        <w:t>203-18,</w:t>
      </w:r>
      <w:r w:rsidR="000336B5" w:rsidRPr="009A2B72">
        <w:rPr>
          <w:rFonts w:ascii="Book Antiqua" w:hAnsi="Book Antiqua" w:cs="Book Antiqua"/>
          <w:color w:val="000000" w:themeColor="text1"/>
          <w:sz w:val="24"/>
          <w:szCs w:val="24"/>
        </w:rPr>
        <w:t xml:space="preserve"> </w:t>
      </w:r>
      <w:r w:rsidRPr="009A2B72">
        <w:rPr>
          <w:rFonts w:ascii="Book Antiqua" w:hAnsi="Book Antiqua" w:cs="Book Antiqua"/>
          <w:color w:val="000000" w:themeColor="text1"/>
          <w:sz w:val="24"/>
          <w:szCs w:val="24"/>
        </w:rPr>
        <w:t>953-18, 1624-18, 1555-17, 1139-18, 1100-19,</w:t>
      </w:r>
      <w:r w:rsidR="000336B5" w:rsidRPr="009A2B72">
        <w:rPr>
          <w:rFonts w:ascii="Book Antiqua" w:hAnsi="Book Antiqua" w:cs="Book Antiqua"/>
          <w:color w:val="000000" w:themeColor="text1"/>
          <w:sz w:val="24"/>
          <w:szCs w:val="24"/>
        </w:rPr>
        <w:t xml:space="preserve"> </w:t>
      </w:r>
      <w:r w:rsidRPr="009A2B72">
        <w:rPr>
          <w:rFonts w:ascii="Book Antiqua" w:hAnsi="Book Antiqua" w:cs="Book Antiqua"/>
          <w:color w:val="000000" w:themeColor="text1"/>
          <w:sz w:val="24"/>
          <w:szCs w:val="24"/>
        </w:rPr>
        <w:t>393-20, 2103-20</w:t>
      </w:r>
    </w:p>
    <w:p w14:paraId="2F2BE63A" w14:textId="44DFECAA" w:rsidR="00943A4F" w:rsidRPr="0099468A" w:rsidRDefault="00CA19C4" w:rsidP="00CA19C4">
      <w:pPr>
        <w:rPr>
          <w:rFonts w:ascii="Book Antiqua" w:hAnsi="Book Antiqua" w:cs="Book Antiqua"/>
          <w:sz w:val="24"/>
          <w:szCs w:val="24"/>
        </w:rPr>
      </w:pPr>
      <w:r w:rsidRPr="0099468A">
        <w:rPr>
          <w:rFonts w:ascii="Book Antiqua" w:hAnsi="Book Antiqua" w:cs="Book Antiqua"/>
          <w:sz w:val="24"/>
          <w:szCs w:val="24"/>
        </w:rPr>
        <w:br w:type="page"/>
      </w:r>
    </w:p>
    <w:p w14:paraId="5C97FFB0" w14:textId="77777777" w:rsidR="005B015A" w:rsidRPr="006E6CBA" w:rsidRDefault="005B015A" w:rsidP="005B015A">
      <w:pPr>
        <w:widowControl w:val="0"/>
        <w:spacing w:after="0" w:line="240" w:lineRule="auto"/>
        <w:rPr>
          <w:rFonts w:ascii="Book Antiqua" w:hAnsi="Book Antiqua" w:cs="Book Antiqua"/>
          <w:snapToGrid w:val="0"/>
        </w:rPr>
      </w:pPr>
      <w:bookmarkStart w:id="2" w:name="_Hlk63098518"/>
      <w:r w:rsidRPr="006E6CBA">
        <w:rPr>
          <w:rFonts w:ascii="Book Antiqua" w:hAnsi="Book Antiqua" w:cs="Book Antiqua"/>
          <w:snapToGrid w:val="0"/>
        </w:rPr>
        <w:lastRenderedPageBreak/>
        <w:t>23 de Setiembre de 2021</w:t>
      </w:r>
    </w:p>
    <w:p w14:paraId="206367CD" w14:textId="31F20574" w:rsidR="000A190D" w:rsidRDefault="000A190D" w:rsidP="000A190D">
      <w:pPr>
        <w:spacing w:line="276" w:lineRule="auto"/>
        <w:rPr>
          <w:rFonts w:ascii="Book Antiqua" w:hAnsi="Book Antiqua" w:cs="Book Antiqua"/>
        </w:rPr>
      </w:pPr>
    </w:p>
    <w:p w14:paraId="2CC7FEE5" w14:textId="77777777" w:rsidR="006E6CBA" w:rsidRPr="00410ED4" w:rsidRDefault="006E6CBA" w:rsidP="000A190D">
      <w:pPr>
        <w:spacing w:line="276" w:lineRule="auto"/>
        <w:rPr>
          <w:rFonts w:ascii="Book Antiqua" w:hAnsi="Book Antiqua" w:cs="Book Antiqua"/>
        </w:rPr>
      </w:pPr>
    </w:p>
    <w:p w14:paraId="60FD2CEE" w14:textId="77777777" w:rsidR="00E7520F" w:rsidRPr="00E7520F" w:rsidRDefault="00B51444" w:rsidP="00B51444">
      <w:pPr>
        <w:spacing w:after="0" w:line="276" w:lineRule="auto"/>
        <w:rPr>
          <w:rFonts w:ascii="Book Antiqua" w:hAnsi="Book Antiqua" w:cs="Book Antiqua"/>
        </w:rPr>
      </w:pPr>
      <w:r w:rsidRPr="00E7520F">
        <w:rPr>
          <w:rFonts w:ascii="Book Antiqua" w:hAnsi="Book Antiqua" w:cs="Book Antiqua"/>
        </w:rPr>
        <w:t>Ing</w:t>
      </w:r>
      <w:r w:rsidR="00E7520F" w:rsidRPr="00E7520F">
        <w:rPr>
          <w:rFonts w:ascii="Book Antiqua" w:hAnsi="Book Antiqua" w:cs="Book Antiqua"/>
        </w:rPr>
        <w:t>eniero</w:t>
      </w:r>
    </w:p>
    <w:p w14:paraId="12854272" w14:textId="77777777" w:rsidR="00E7520F" w:rsidRPr="00E7520F" w:rsidRDefault="00B51444" w:rsidP="00B51444">
      <w:pPr>
        <w:spacing w:after="0" w:line="276" w:lineRule="auto"/>
        <w:rPr>
          <w:rFonts w:ascii="Book Antiqua" w:hAnsi="Book Antiqua" w:cs="Book Antiqua"/>
          <w:snapToGrid w:val="0"/>
        </w:rPr>
      </w:pPr>
      <w:r w:rsidRPr="00E7520F">
        <w:rPr>
          <w:rFonts w:ascii="Book Antiqua" w:hAnsi="Book Antiqua" w:cs="Book Antiqua"/>
        </w:rPr>
        <w:t>Dixon Li Morales</w:t>
      </w:r>
      <w:r w:rsidR="00E7520F" w:rsidRPr="00E7520F">
        <w:rPr>
          <w:rFonts w:ascii="Book Antiqua" w:hAnsi="Book Antiqua" w:cs="Book Antiqua"/>
        </w:rPr>
        <w:t xml:space="preserve">, </w:t>
      </w:r>
      <w:r w:rsidRPr="00E7520F">
        <w:rPr>
          <w:rFonts w:ascii="Book Antiqua" w:hAnsi="Book Antiqua" w:cs="Book Antiqua"/>
          <w:snapToGrid w:val="0"/>
        </w:rPr>
        <w:t xml:space="preserve">Jefe </w:t>
      </w:r>
      <w:r w:rsidR="00E7520F" w:rsidRPr="00E7520F">
        <w:rPr>
          <w:rFonts w:ascii="Book Antiqua" w:hAnsi="Book Antiqua" w:cs="Book Antiqua"/>
          <w:snapToGrid w:val="0"/>
        </w:rPr>
        <w:t>a.i.</w:t>
      </w:r>
    </w:p>
    <w:p w14:paraId="1A87A50F" w14:textId="40A4EF83" w:rsidR="000A190D" w:rsidRPr="00E7520F" w:rsidRDefault="00B51444" w:rsidP="00B51444">
      <w:pPr>
        <w:spacing w:after="0" w:line="276" w:lineRule="auto"/>
        <w:rPr>
          <w:rFonts w:ascii="Book Antiqua" w:hAnsi="Book Antiqua" w:cs="Book Antiqua"/>
          <w:snapToGrid w:val="0"/>
        </w:rPr>
      </w:pPr>
      <w:r w:rsidRPr="00E7520F">
        <w:rPr>
          <w:rFonts w:ascii="Book Antiqua" w:hAnsi="Book Antiqua" w:cs="Book Antiqua"/>
          <w:snapToGrid w:val="0"/>
        </w:rPr>
        <w:t xml:space="preserve">Proceso Ejecución de las Operaciones </w:t>
      </w:r>
    </w:p>
    <w:p w14:paraId="15C54CB5" w14:textId="36350EF5" w:rsidR="000A190D" w:rsidRPr="00E7520F" w:rsidRDefault="000A190D" w:rsidP="00B51444">
      <w:pPr>
        <w:spacing w:after="0" w:line="276" w:lineRule="auto"/>
        <w:rPr>
          <w:rFonts w:ascii="Book Antiqua" w:hAnsi="Book Antiqua" w:cs="Book Antiqua"/>
        </w:rPr>
      </w:pPr>
    </w:p>
    <w:p w14:paraId="4D1C7526" w14:textId="35A69360" w:rsidR="000A190D" w:rsidRDefault="000A190D" w:rsidP="000A190D">
      <w:pPr>
        <w:pStyle w:val="Textoindependiente"/>
        <w:spacing w:after="0" w:line="276" w:lineRule="auto"/>
        <w:ind w:left="0" w:right="49"/>
        <w:jc w:val="both"/>
        <w:rPr>
          <w:rFonts w:ascii="Book Antiqua" w:hAnsi="Book Antiqua"/>
          <w:sz w:val="24"/>
          <w:szCs w:val="24"/>
          <w:lang w:val="es-CR"/>
        </w:rPr>
      </w:pPr>
    </w:p>
    <w:p w14:paraId="38D266D1" w14:textId="77777777" w:rsidR="00182ED4" w:rsidRPr="00C7478E" w:rsidRDefault="00182ED4" w:rsidP="00182ED4">
      <w:pPr>
        <w:rPr>
          <w:rFonts w:ascii="Book Antiqua" w:hAnsi="Book Antiqua" w:cs="Book Antiqua"/>
          <w:sz w:val="24"/>
          <w:szCs w:val="24"/>
        </w:rPr>
      </w:pPr>
      <w:r>
        <w:rPr>
          <w:rFonts w:ascii="Book Antiqua" w:hAnsi="Book Antiqua" w:cs="Book Antiqua"/>
          <w:sz w:val="24"/>
          <w:szCs w:val="24"/>
        </w:rPr>
        <w:t>E</w:t>
      </w:r>
      <w:r w:rsidRPr="00820670">
        <w:rPr>
          <w:rFonts w:ascii="Book Antiqua" w:hAnsi="Book Antiqua" w:cs="Book Antiqua"/>
          <w:sz w:val="24"/>
          <w:szCs w:val="24"/>
        </w:rPr>
        <w:t>stimado señor:</w:t>
      </w:r>
    </w:p>
    <w:p w14:paraId="72F46CC2" w14:textId="77777777" w:rsidR="00182ED4" w:rsidRPr="00410ED4" w:rsidRDefault="00182ED4" w:rsidP="000A190D">
      <w:pPr>
        <w:pStyle w:val="Textoindependiente"/>
        <w:spacing w:after="0" w:line="276" w:lineRule="auto"/>
        <w:ind w:left="0" w:right="49"/>
        <w:jc w:val="both"/>
        <w:rPr>
          <w:rFonts w:ascii="Book Antiqua" w:hAnsi="Book Antiqua"/>
          <w:sz w:val="24"/>
          <w:szCs w:val="24"/>
          <w:lang w:val="es-CR"/>
        </w:rPr>
      </w:pPr>
    </w:p>
    <w:p w14:paraId="28AE0C1F" w14:textId="4365C838" w:rsidR="009F7665" w:rsidRPr="003E287D" w:rsidRDefault="000A190D" w:rsidP="005A4175">
      <w:pPr>
        <w:jc w:val="both"/>
        <w:rPr>
          <w:rFonts w:ascii="Book Antiqua" w:hAnsi="Book Antiqua"/>
        </w:rPr>
      </w:pPr>
      <w:r w:rsidRPr="00D73572">
        <w:rPr>
          <w:rFonts w:ascii="Book Antiqua" w:hAnsi="Book Antiqua"/>
        </w:rPr>
        <w:t xml:space="preserve">En el presente informe </w:t>
      </w:r>
      <w:r w:rsidR="006E6CBA">
        <w:rPr>
          <w:rFonts w:ascii="Book Antiqua" w:hAnsi="Book Antiqua"/>
        </w:rPr>
        <w:t xml:space="preserve">se </w:t>
      </w:r>
      <w:r w:rsidRPr="00D73572">
        <w:rPr>
          <w:rFonts w:ascii="Book Antiqua" w:hAnsi="Book Antiqua"/>
        </w:rPr>
        <w:t>atiende</w:t>
      </w:r>
      <w:r w:rsidR="006E6CBA">
        <w:rPr>
          <w:rFonts w:ascii="Book Antiqua" w:hAnsi="Book Antiqua"/>
        </w:rPr>
        <w:t>n</w:t>
      </w:r>
      <w:r w:rsidR="009F7665" w:rsidRPr="00D73572">
        <w:rPr>
          <w:rFonts w:ascii="Book Antiqua" w:hAnsi="Book Antiqua"/>
        </w:rPr>
        <w:t xml:space="preserve"> las solicitudes emitidas en los siguientes </w:t>
      </w:r>
      <w:r w:rsidR="005A4175" w:rsidRPr="003E287D">
        <w:rPr>
          <w:rFonts w:ascii="Book Antiqua" w:hAnsi="Book Antiqua"/>
        </w:rPr>
        <w:t>oficios de la Secretaría General de la Corte</w:t>
      </w:r>
      <w:r w:rsidR="00F17301" w:rsidRPr="003E287D">
        <w:rPr>
          <w:rFonts w:ascii="Book Antiqua" w:hAnsi="Book Antiqua"/>
        </w:rPr>
        <w:t>:</w:t>
      </w:r>
      <w:r w:rsidR="005A4175" w:rsidRPr="003E287D">
        <w:rPr>
          <w:rFonts w:ascii="Book Antiqua" w:hAnsi="Book Antiqua"/>
        </w:rPr>
        <w:t xml:space="preserve"> </w:t>
      </w:r>
    </w:p>
    <w:p w14:paraId="69C9C8A5" w14:textId="07A4F629" w:rsidR="009F7665" w:rsidRPr="00D73572" w:rsidRDefault="00601AA2" w:rsidP="005A4175">
      <w:pPr>
        <w:jc w:val="both"/>
        <w:rPr>
          <w:rFonts w:ascii="Book Antiqua" w:hAnsi="Book Antiqua"/>
          <w:b/>
          <w:bCs/>
          <w:u w:val="single"/>
        </w:rPr>
      </w:pPr>
      <w:r w:rsidRPr="00D73572">
        <w:rPr>
          <w:rFonts w:ascii="Book Antiqua" w:hAnsi="Book Antiqua"/>
          <w:b/>
          <w:bCs/>
          <w:u w:val="single"/>
        </w:rPr>
        <w:t xml:space="preserve">Oficio </w:t>
      </w:r>
      <w:r w:rsidR="005A4175" w:rsidRPr="00D73572">
        <w:rPr>
          <w:rFonts w:ascii="Book Antiqua" w:hAnsi="Book Antiqua"/>
          <w:b/>
          <w:bCs/>
          <w:u w:val="single"/>
        </w:rPr>
        <w:t>496-18</w:t>
      </w:r>
      <w:r w:rsidR="009F7665" w:rsidRPr="00D73572">
        <w:rPr>
          <w:rFonts w:ascii="Book Antiqua" w:hAnsi="Book Antiqua"/>
          <w:b/>
          <w:bCs/>
          <w:u w:val="single"/>
        </w:rPr>
        <w:t xml:space="preserve">: </w:t>
      </w:r>
      <w:r w:rsidR="009640AB" w:rsidRPr="00D73572">
        <w:rPr>
          <w:rFonts w:ascii="Book Antiqua" w:hAnsi="Book Antiqua"/>
        </w:rPr>
        <w:t xml:space="preserve">Acuerdo tomado por el Consejo Superior del Poder Judicial, en la sesión </w:t>
      </w:r>
      <w:r w:rsidR="009640AB" w:rsidRPr="00D73572">
        <w:rPr>
          <w:rFonts w:ascii="Book Antiqua" w:hAnsi="Book Antiqua"/>
          <w:b/>
          <w:bCs/>
        </w:rPr>
        <w:t xml:space="preserve">Nº109-17 </w:t>
      </w:r>
      <w:r w:rsidR="009640AB" w:rsidRPr="00D73572">
        <w:rPr>
          <w:rFonts w:ascii="Book Antiqua" w:hAnsi="Book Antiqua"/>
        </w:rPr>
        <w:t xml:space="preserve">celebrada el </w:t>
      </w:r>
      <w:r w:rsidR="009640AB" w:rsidRPr="00D73572">
        <w:rPr>
          <w:rFonts w:ascii="Book Antiqua" w:hAnsi="Book Antiqua"/>
          <w:b/>
          <w:bCs/>
        </w:rPr>
        <w:t>5 d</w:t>
      </w:r>
      <w:r w:rsidR="009640AB" w:rsidRPr="00D73572">
        <w:rPr>
          <w:rFonts w:ascii="Book Antiqua" w:hAnsi="Book Antiqua"/>
          <w:b/>
        </w:rPr>
        <w:t>e diciembre de año 2017, artículo LXXII</w:t>
      </w:r>
      <w:r w:rsidR="009D4A82">
        <w:rPr>
          <w:rFonts w:ascii="Book Antiqua" w:hAnsi="Book Antiqua"/>
          <w:b/>
        </w:rPr>
        <w:t>,</w:t>
      </w:r>
    </w:p>
    <w:p w14:paraId="38AEC2FE" w14:textId="3A8FE4B9" w:rsidR="00DA573F" w:rsidRPr="003C748A" w:rsidRDefault="009640AB" w:rsidP="003C748A">
      <w:pPr>
        <w:ind w:left="567" w:right="474"/>
        <w:jc w:val="both"/>
        <w:rPr>
          <w:rFonts w:ascii="Book Antiqua" w:hAnsi="Book Antiqua"/>
          <w:i/>
          <w:iCs/>
        </w:rPr>
      </w:pPr>
      <w:r w:rsidRPr="00D73572">
        <w:rPr>
          <w:rFonts w:ascii="Book Antiqua" w:hAnsi="Book Antiqua"/>
          <w:b/>
          <w:i/>
          <w:iCs/>
        </w:rPr>
        <w:t>“…</w:t>
      </w:r>
      <w:r w:rsidR="009F7665" w:rsidRPr="00D73572">
        <w:rPr>
          <w:rFonts w:ascii="Book Antiqua" w:hAnsi="Book Antiqua"/>
          <w:b/>
          <w:i/>
          <w:iCs/>
        </w:rPr>
        <w:t xml:space="preserve">Se acordó: 1) </w:t>
      </w:r>
      <w:r w:rsidR="009F7665" w:rsidRPr="00D73572">
        <w:rPr>
          <w:rFonts w:ascii="Book Antiqua" w:hAnsi="Book Antiqua"/>
          <w:i/>
          <w:iCs/>
        </w:rPr>
        <w:t xml:space="preserve">Solicitar a la Dirección de Planificación que se refiera a lo indicado por el magistrado Molinari, en su condición de Coordinador de la Comisión de la Jurisdicción Civil, con respecto a establecer de forma clara y objetiva la proporción en la cuota de trabajo que deberá cumplir cada Juez y Jueza de los Tribunales de Apelación para las materias civiles y laborales. A su vez, la cantidad de asuntos de trámite que deberán firmar los </w:t>
      </w:r>
      <w:r w:rsidR="009F7665" w:rsidRPr="00A81E9F">
        <w:rPr>
          <w:rFonts w:ascii="Book Antiqua" w:hAnsi="Book Antiqua"/>
          <w:i/>
          <w:iCs/>
        </w:rPr>
        <w:t xml:space="preserve">Jueces de dichos despachos, definiendo la proporción civil y laboral en cada caso, así como el de fallo de asuntos. Lo anterior, según lo citado en el </w:t>
      </w:r>
      <w:r w:rsidR="009F7665" w:rsidRPr="00A81E9F">
        <w:rPr>
          <w:rFonts w:ascii="Book Antiqua" w:hAnsi="Book Antiqua"/>
          <w:i/>
          <w:iCs/>
          <w:lang w:eastAsia="es-CR"/>
        </w:rPr>
        <w:t xml:space="preserve">informe N° 36-MI-2017-B de esa Dirección. </w:t>
      </w:r>
      <w:r w:rsidR="009F7665" w:rsidRPr="00A81E9F">
        <w:rPr>
          <w:rFonts w:ascii="Book Antiqua" w:hAnsi="Book Antiqua"/>
          <w:b/>
          <w:i/>
          <w:iCs/>
        </w:rPr>
        <w:t xml:space="preserve">2) </w:t>
      </w:r>
      <w:r w:rsidR="009F7665" w:rsidRPr="00A81E9F">
        <w:rPr>
          <w:rFonts w:ascii="Book Antiqua" w:hAnsi="Book Antiqua"/>
          <w:i/>
          <w:iCs/>
        </w:rPr>
        <w:t>Deberá la referida Dirección remitir un informe ejecutivo de avance de los planes de descongestionamiento en materia civil</w:t>
      </w:r>
      <w:r w:rsidRPr="00A81E9F">
        <w:rPr>
          <w:rFonts w:ascii="Book Antiqua" w:hAnsi="Book Antiqua"/>
          <w:i/>
          <w:iCs/>
        </w:rPr>
        <w:t>…</w:t>
      </w:r>
      <w:r w:rsidR="009F7665" w:rsidRPr="00A81E9F">
        <w:rPr>
          <w:rFonts w:ascii="Book Antiqua" w:hAnsi="Book Antiqua"/>
          <w:i/>
          <w:iCs/>
        </w:rPr>
        <w:t>”</w:t>
      </w:r>
      <w:r w:rsidR="000336B5">
        <w:rPr>
          <w:rFonts w:ascii="Book Antiqua" w:hAnsi="Book Antiqua"/>
          <w:i/>
          <w:iCs/>
        </w:rPr>
        <w:t>.</w:t>
      </w:r>
    </w:p>
    <w:p w14:paraId="07583628" w14:textId="77777777" w:rsidR="002B7269" w:rsidRPr="00A81E9F" w:rsidRDefault="002B7269" w:rsidP="003C748A">
      <w:pPr>
        <w:ind w:right="474"/>
        <w:jc w:val="both"/>
        <w:rPr>
          <w:rFonts w:ascii="Book Antiqua" w:hAnsi="Book Antiqua"/>
          <w:i/>
          <w:iCs/>
        </w:rPr>
      </w:pPr>
    </w:p>
    <w:p w14:paraId="4F932CF8" w14:textId="66A5DEFC" w:rsidR="009F7665" w:rsidRPr="00A81E9F" w:rsidRDefault="00601AA2" w:rsidP="005A4175">
      <w:pPr>
        <w:jc w:val="both"/>
        <w:rPr>
          <w:rFonts w:ascii="Book Antiqua" w:hAnsi="Book Antiqua"/>
          <w:b/>
          <w:bCs/>
          <w:u w:val="single"/>
        </w:rPr>
      </w:pPr>
      <w:r w:rsidRPr="00A81E9F">
        <w:rPr>
          <w:rFonts w:ascii="Book Antiqua" w:hAnsi="Book Antiqua"/>
          <w:b/>
          <w:bCs/>
          <w:u w:val="single"/>
        </w:rPr>
        <w:t xml:space="preserve">Oficio </w:t>
      </w:r>
      <w:r w:rsidR="005A4175" w:rsidRPr="00A81E9F">
        <w:rPr>
          <w:rFonts w:ascii="Book Antiqua" w:hAnsi="Book Antiqua"/>
          <w:b/>
          <w:bCs/>
          <w:u w:val="single"/>
        </w:rPr>
        <w:t>1300-18</w:t>
      </w:r>
      <w:r w:rsidR="00C0777E" w:rsidRPr="00A81E9F">
        <w:rPr>
          <w:rFonts w:ascii="Book Antiqua" w:hAnsi="Book Antiqua"/>
          <w:b/>
          <w:bCs/>
          <w:u w:val="single"/>
        </w:rPr>
        <w:t xml:space="preserve">: </w:t>
      </w:r>
      <w:r w:rsidR="009640AB" w:rsidRPr="00A81E9F">
        <w:rPr>
          <w:rFonts w:ascii="Book Antiqua" w:hAnsi="Book Antiqua"/>
        </w:rPr>
        <w:t xml:space="preserve">Acuerdo tomado por el Consejo Superior del Poder Judicial, en la sesión </w:t>
      </w:r>
      <w:r w:rsidR="009640AB" w:rsidRPr="00A81E9F">
        <w:rPr>
          <w:rFonts w:ascii="Book Antiqua" w:hAnsi="Book Antiqua"/>
          <w:b/>
          <w:bCs/>
        </w:rPr>
        <w:t xml:space="preserve">N°9-18 </w:t>
      </w:r>
      <w:r w:rsidR="009640AB" w:rsidRPr="00A81E9F">
        <w:rPr>
          <w:rFonts w:ascii="Book Antiqua" w:hAnsi="Book Antiqua"/>
          <w:bCs/>
        </w:rPr>
        <w:t>c</w:t>
      </w:r>
      <w:r w:rsidR="009640AB" w:rsidRPr="00A81E9F">
        <w:rPr>
          <w:rFonts w:ascii="Book Antiqua" w:hAnsi="Book Antiqua"/>
        </w:rPr>
        <w:t xml:space="preserve">elebrada el </w:t>
      </w:r>
      <w:r w:rsidR="009640AB" w:rsidRPr="00A81E9F">
        <w:rPr>
          <w:rFonts w:ascii="Book Antiqua" w:hAnsi="Book Antiqua"/>
          <w:b/>
        </w:rPr>
        <w:t>1</w:t>
      </w:r>
      <w:r w:rsidR="009640AB" w:rsidRPr="00A81E9F">
        <w:rPr>
          <w:rFonts w:ascii="Book Antiqua" w:hAnsi="Book Antiqua"/>
          <w:b/>
          <w:bCs/>
        </w:rPr>
        <w:t xml:space="preserve"> de febrero del 2018, artículo LXI. </w:t>
      </w:r>
    </w:p>
    <w:p w14:paraId="39B83299" w14:textId="3D46525E" w:rsidR="00C0777E" w:rsidRPr="00A81E9F" w:rsidRDefault="009640AB" w:rsidP="009640AB">
      <w:pPr>
        <w:ind w:left="567" w:right="474"/>
        <w:jc w:val="both"/>
        <w:rPr>
          <w:rFonts w:ascii="Book Antiqua" w:hAnsi="Book Antiqua"/>
          <w:i/>
          <w:iCs/>
        </w:rPr>
      </w:pPr>
      <w:r w:rsidRPr="00A81E9F">
        <w:rPr>
          <w:rFonts w:ascii="Book Antiqua" w:hAnsi="Book Antiqua"/>
          <w:b/>
          <w:bCs/>
          <w:i/>
          <w:iCs/>
        </w:rPr>
        <w:t>“…</w:t>
      </w:r>
      <w:r w:rsidR="00C0777E" w:rsidRPr="00A81E9F">
        <w:rPr>
          <w:rFonts w:ascii="Book Antiqua" w:hAnsi="Book Antiqua"/>
          <w:b/>
          <w:bCs/>
          <w:i/>
          <w:iCs/>
        </w:rPr>
        <w:t>3.)</w:t>
      </w:r>
      <w:r w:rsidR="00C0777E" w:rsidRPr="00A81E9F">
        <w:rPr>
          <w:rFonts w:ascii="Book Antiqua" w:hAnsi="Book Antiqua"/>
          <w:bCs/>
          <w:i/>
          <w:iCs/>
        </w:rPr>
        <w:t xml:space="preserve"> Deberá la </w:t>
      </w:r>
      <w:r w:rsidR="00C0777E" w:rsidRPr="00A81E9F">
        <w:rPr>
          <w:rFonts w:ascii="Book Antiqua" w:hAnsi="Book Antiqua"/>
          <w:i/>
          <w:iCs/>
        </w:rPr>
        <w:t xml:space="preserve">Dirección de Planificación analizar un cambio en la cuota de los </w:t>
      </w:r>
      <w:r w:rsidR="00ED12DC" w:rsidRPr="00A81E9F">
        <w:rPr>
          <w:rFonts w:ascii="Book Antiqua" w:hAnsi="Book Antiqua"/>
          <w:i/>
          <w:iCs/>
        </w:rPr>
        <w:t>sentencias en</w:t>
      </w:r>
      <w:r w:rsidR="00C0777E" w:rsidRPr="00A81E9F">
        <w:rPr>
          <w:rFonts w:ascii="Book Antiqua" w:hAnsi="Book Antiqua"/>
          <w:i/>
          <w:iCs/>
        </w:rPr>
        <w:t xml:space="preserve"> el Tribunal de Apelación Civil y de Trabajo de Puntarenas, a fin de asignar una cuota por cada materia y tipo de proceso</w:t>
      </w:r>
      <w:r w:rsidRPr="00A81E9F">
        <w:rPr>
          <w:rFonts w:ascii="Book Antiqua" w:hAnsi="Book Antiqua"/>
          <w:i/>
          <w:iCs/>
        </w:rPr>
        <w:t>…”</w:t>
      </w:r>
      <w:r w:rsidR="000336B5">
        <w:rPr>
          <w:rFonts w:ascii="Book Antiqua" w:hAnsi="Book Antiqua"/>
          <w:i/>
          <w:iCs/>
        </w:rPr>
        <w:t>.</w:t>
      </w:r>
    </w:p>
    <w:p w14:paraId="5FABFBED" w14:textId="4DD2ACBA" w:rsidR="009F7665" w:rsidRPr="00A81E9F" w:rsidRDefault="00601AA2" w:rsidP="005A4175">
      <w:pPr>
        <w:jc w:val="both"/>
        <w:rPr>
          <w:rFonts w:ascii="Book Antiqua" w:hAnsi="Book Antiqua"/>
          <w:b/>
          <w:bCs/>
          <w:u w:val="single"/>
        </w:rPr>
      </w:pPr>
      <w:r w:rsidRPr="00A81E9F">
        <w:rPr>
          <w:rFonts w:ascii="Book Antiqua" w:hAnsi="Book Antiqua"/>
          <w:b/>
          <w:bCs/>
          <w:u w:val="single"/>
        </w:rPr>
        <w:t xml:space="preserve">Oficio </w:t>
      </w:r>
      <w:r w:rsidR="005A4175" w:rsidRPr="00A81E9F">
        <w:rPr>
          <w:rFonts w:ascii="Book Antiqua" w:hAnsi="Book Antiqua"/>
          <w:b/>
          <w:bCs/>
          <w:u w:val="single"/>
        </w:rPr>
        <w:t>6634-18</w:t>
      </w:r>
      <w:r w:rsidR="00C0777E" w:rsidRPr="00A81E9F">
        <w:rPr>
          <w:rFonts w:ascii="Book Antiqua" w:hAnsi="Book Antiqua"/>
          <w:b/>
          <w:bCs/>
          <w:u w:val="single"/>
        </w:rPr>
        <w:t>:</w:t>
      </w:r>
      <w:r w:rsidR="005154AB" w:rsidRPr="00A81E9F">
        <w:rPr>
          <w:rFonts w:ascii="Book Antiqua" w:hAnsi="Book Antiqua"/>
          <w:b/>
          <w:bCs/>
          <w:u w:val="single"/>
        </w:rPr>
        <w:t xml:space="preserve"> </w:t>
      </w:r>
      <w:r w:rsidR="005154AB" w:rsidRPr="00A81E9F">
        <w:rPr>
          <w:rFonts w:ascii="Book Antiqua" w:hAnsi="Book Antiqua"/>
        </w:rPr>
        <w:t xml:space="preserve">Acuerdo tomado por el Consejo Superior del Poder Judicial, en la sesión </w:t>
      </w:r>
      <w:r w:rsidR="005154AB" w:rsidRPr="00A81E9F">
        <w:rPr>
          <w:rFonts w:ascii="Book Antiqua" w:hAnsi="Book Antiqua"/>
          <w:b/>
          <w:bCs/>
        </w:rPr>
        <w:t xml:space="preserve">N°58-18 </w:t>
      </w:r>
      <w:r w:rsidR="005154AB" w:rsidRPr="00A81E9F">
        <w:rPr>
          <w:rFonts w:ascii="Book Antiqua" w:hAnsi="Book Antiqua"/>
          <w:bCs/>
        </w:rPr>
        <w:t>c</w:t>
      </w:r>
      <w:r w:rsidR="005154AB" w:rsidRPr="00A81E9F">
        <w:rPr>
          <w:rFonts w:ascii="Book Antiqua" w:hAnsi="Book Antiqua"/>
        </w:rPr>
        <w:t xml:space="preserve">elebrada el </w:t>
      </w:r>
      <w:r w:rsidR="005154AB" w:rsidRPr="00A81E9F">
        <w:rPr>
          <w:rFonts w:ascii="Book Antiqua" w:hAnsi="Book Antiqua"/>
          <w:b/>
        </w:rPr>
        <w:t>28</w:t>
      </w:r>
      <w:r w:rsidR="005154AB" w:rsidRPr="00A81E9F">
        <w:rPr>
          <w:rFonts w:ascii="Book Antiqua" w:hAnsi="Book Antiqua"/>
          <w:b/>
          <w:bCs/>
        </w:rPr>
        <w:t xml:space="preserve"> de junio del 2018, artículo L. </w:t>
      </w:r>
    </w:p>
    <w:p w14:paraId="668E7503" w14:textId="79AC26DE" w:rsidR="00C0777E" w:rsidRDefault="005154AB" w:rsidP="005154AB">
      <w:pPr>
        <w:ind w:left="567" w:right="474"/>
        <w:jc w:val="both"/>
        <w:rPr>
          <w:rFonts w:ascii="Book Antiqua" w:hAnsi="Book Antiqua"/>
          <w:i/>
          <w:iCs/>
        </w:rPr>
      </w:pPr>
      <w:r w:rsidRPr="00A81E9F">
        <w:rPr>
          <w:rFonts w:ascii="Book Antiqua" w:hAnsi="Book Antiqua"/>
          <w:b/>
          <w:i/>
          <w:iCs/>
          <w:lang w:eastAsia="es-CR"/>
        </w:rPr>
        <w:t>“…</w:t>
      </w:r>
      <w:r w:rsidR="00C0777E" w:rsidRPr="00A81E9F">
        <w:rPr>
          <w:rFonts w:ascii="Book Antiqua" w:hAnsi="Book Antiqua"/>
          <w:b/>
          <w:i/>
          <w:iCs/>
          <w:lang w:eastAsia="es-CR"/>
        </w:rPr>
        <w:t xml:space="preserve">F) </w:t>
      </w:r>
      <w:r w:rsidR="00C0777E" w:rsidRPr="00A81E9F">
        <w:rPr>
          <w:rFonts w:ascii="Book Antiqua" w:hAnsi="Book Antiqua"/>
          <w:i/>
          <w:iCs/>
          <w:lang w:eastAsia="es-CR"/>
        </w:rPr>
        <w:t>L</w:t>
      </w:r>
      <w:r w:rsidR="00C0777E" w:rsidRPr="00A81E9F">
        <w:rPr>
          <w:rFonts w:ascii="Book Antiqua" w:hAnsi="Book Antiqua"/>
          <w:bCs/>
          <w:i/>
          <w:iCs/>
          <w:snapToGrid w:val="0"/>
          <w:lang w:eastAsia="es-CR"/>
        </w:rPr>
        <w:t>a Dirección de Planificación deberá realizar los siguientes abordajes:</w:t>
      </w:r>
      <w:r w:rsidR="00C0777E" w:rsidRPr="00A81E9F">
        <w:rPr>
          <w:rFonts w:ascii="Book Antiqua" w:hAnsi="Book Antiqua"/>
          <w:b/>
          <w:i/>
          <w:iCs/>
        </w:rPr>
        <w:t xml:space="preserve"> </w:t>
      </w:r>
      <w:r w:rsidR="00C0777E" w:rsidRPr="00A81E9F">
        <w:rPr>
          <w:rFonts w:ascii="Book Antiqua" w:hAnsi="Book Antiqua"/>
          <w:b/>
          <w:i/>
          <w:iCs/>
          <w:lang w:eastAsia="es-CR"/>
        </w:rPr>
        <w:t xml:space="preserve">F.1.) </w:t>
      </w:r>
      <w:r w:rsidR="00C0777E" w:rsidRPr="00A81E9F">
        <w:rPr>
          <w:rFonts w:ascii="Book Antiqua" w:hAnsi="Book Antiqua"/>
          <w:i/>
          <w:iCs/>
        </w:rPr>
        <w:t xml:space="preserve">En el Tribunal de Apelaciones Civil y Trabajo de Cartago y el Tribunal de Apelaciones Civil y Trabajo </w:t>
      </w:r>
      <w:r w:rsidR="00C0777E" w:rsidRPr="009E5E7D">
        <w:rPr>
          <w:rFonts w:ascii="Book Antiqua" w:hAnsi="Book Antiqua"/>
          <w:i/>
          <w:iCs/>
        </w:rPr>
        <w:t xml:space="preserve">de Alajuela, los siguientes: </w:t>
      </w:r>
      <w:r w:rsidR="00C0777E" w:rsidRPr="009E5E7D">
        <w:rPr>
          <w:rFonts w:ascii="Book Antiqua" w:hAnsi="Book Antiqua"/>
          <w:b/>
          <w:i/>
          <w:iCs/>
        </w:rPr>
        <w:t xml:space="preserve">F.1.a.) </w:t>
      </w:r>
      <w:r w:rsidR="00C0777E" w:rsidRPr="009E5E7D">
        <w:rPr>
          <w:rFonts w:ascii="Book Antiqua" w:hAnsi="Book Antiqua"/>
          <w:i/>
          <w:iCs/>
        </w:rPr>
        <w:t>Deberá</w:t>
      </w:r>
      <w:r w:rsidR="00C0777E" w:rsidRPr="001852A1">
        <w:rPr>
          <w:rFonts w:ascii="Book Antiqua" w:hAnsi="Book Antiqua"/>
          <w:b/>
          <w:i/>
          <w:iCs/>
        </w:rPr>
        <w:t xml:space="preserve"> </w:t>
      </w:r>
      <w:r w:rsidR="00C0777E" w:rsidRPr="001852A1">
        <w:rPr>
          <w:rFonts w:ascii="Book Antiqua" w:hAnsi="Book Antiqua"/>
          <w:i/>
          <w:iCs/>
        </w:rPr>
        <w:t xml:space="preserve">realizar la distribución por materia </w:t>
      </w:r>
      <w:r w:rsidR="00C0777E" w:rsidRPr="001852A1">
        <w:rPr>
          <w:rFonts w:ascii="Book Antiqua" w:hAnsi="Book Antiqua"/>
          <w:i/>
          <w:iCs/>
        </w:rPr>
        <w:lastRenderedPageBreak/>
        <w:t>(Civil y Trabajo) de la cuota de 17 asuntos fallados por mes</w:t>
      </w:r>
      <w:r w:rsidR="00C0777E" w:rsidRPr="009E5E7D">
        <w:rPr>
          <w:rFonts w:ascii="Book Antiqua" w:hAnsi="Book Antiqua"/>
          <w:i/>
          <w:iCs/>
        </w:rPr>
        <w:t>.</w:t>
      </w:r>
      <w:r w:rsidR="00C0777E" w:rsidRPr="009E5E7D">
        <w:rPr>
          <w:rFonts w:ascii="Book Antiqua" w:hAnsi="Book Antiqua"/>
          <w:b/>
          <w:i/>
          <w:iCs/>
        </w:rPr>
        <w:t xml:space="preserve"> F.1.b</w:t>
      </w:r>
      <w:r w:rsidR="00C0777E" w:rsidRPr="001852A1">
        <w:rPr>
          <w:rFonts w:ascii="Book Antiqua" w:hAnsi="Book Antiqua"/>
          <w:b/>
          <w:i/>
          <w:iCs/>
        </w:rPr>
        <w:t>.)</w:t>
      </w:r>
      <w:r w:rsidR="00C0777E" w:rsidRPr="001852A1">
        <w:rPr>
          <w:rFonts w:ascii="Book Antiqua" w:hAnsi="Book Antiqua"/>
          <w:i/>
          <w:iCs/>
        </w:rPr>
        <w:t xml:space="preserve"> </w:t>
      </w:r>
      <w:r w:rsidR="00C0777E" w:rsidRPr="009E5E7D">
        <w:rPr>
          <w:rFonts w:ascii="Book Antiqua" w:hAnsi="Book Antiqua"/>
          <w:i/>
          <w:iCs/>
        </w:rPr>
        <w:t xml:space="preserve">Deberá dotar de una herramienta para el reparto de procesos por materia Civil y de Trabajo. </w:t>
      </w:r>
      <w:r w:rsidR="00C0777E" w:rsidRPr="001852A1">
        <w:rPr>
          <w:rFonts w:ascii="Book Antiqua" w:hAnsi="Book Antiqua"/>
          <w:b/>
          <w:i/>
          <w:iCs/>
        </w:rPr>
        <w:t>F.1.</w:t>
      </w:r>
      <w:r w:rsidR="00C0777E" w:rsidRPr="009E5E7D">
        <w:rPr>
          <w:rFonts w:ascii="Book Antiqua" w:hAnsi="Book Antiqua"/>
          <w:b/>
          <w:i/>
          <w:iCs/>
        </w:rPr>
        <w:t>c.)</w:t>
      </w:r>
      <w:r w:rsidR="00C0777E" w:rsidRPr="009E5E7D">
        <w:rPr>
          <w:rFonts w:ascii="Book Antiqua" w:hAnsi="Book Antiqua"/>
          <w:i/>
          <w:iCs/>
        </w:rPr>
        <w:t xml:space="preserve"> Capacitará en el uso de la herramienta para equiparar las cargas de trabajo y del uso de los indicadores</w:t>
      </w:r>
      <w:r w:rsidR="00C0777E" w:rsidRPr="001852A1">
        <w:rPr>
          <w:rFonts w:ascii="Book Antiqua" w:hAnsi="Book Antiqua"/>
          <w:i/>
          <w:iCs/>
        </w:rPr>
        <w:t>.</w:t>
      </w:r>
      <w:r w:rsidR="00C0777E" w:rsidRPr="001852A1">
        <w:rPr>
          <w:rFonts w:ascii="Book Antiqua" w:hAnsi="Book Antiqua"/>
          <w:b/>
          <w:i/>
          <w:iCs/>
        </w:rPr>
        <w:t xml:space="preserve"> F.1.d.) </w:t>
      </w:r>
      <w:r w:rsidR="00C0777E" w:rsidRPr="009E5E7D">
        <w:rPr>
          <w:rFonts w:ascii="Book Antiqua" w:hAnsi="Book Antiqua"/>
          <w:i/>
          <w:iCs/>
        </w:rPr>
        <w:t>Deberá</w:t>
      </w:r>
      <w:r w:rsidR="00C0777E" w:rsidRPr="009E5E7D">
        <w:rPr>
          <w:rFonts w:ascii="Book Antiqua" w:hAnsi="Book Antiqua"/>
          <w:b/>
          <w:i/>
          <w:iCs/>
        </w:rPr>
        <w:t xml:space="preserve"> </w:t>
      </w:r>
      <w:r w:rsidR="00C0777E" w:rsidRPr="001852A1">
        <w:rPr>
          <w:rFonts w:ascii="Book Antiqua" w:hAnsi="Book Antiqua"/>
          <w:i/>
          <w:iCs/>
        </w:rPr>
        <w:t>estudiar las posibilidades de especializar por materia (civil y trabajo) al Tribunal de Apelaciones Civil y Trabajo de Alajuela</w:t>
      </w:r>
      <w:r w:rsidRPr="00D611CE">
        <w:rPr>
          <w:rFonts w:ascii="Book Antiqua" w:hAnsi="Book Antiqua"/>
          <w:i/>
          <w:iCs/>
        </w:rPr>
        <w:t>…”</w:t>
      </w:r>
      <w:r w:rsidR="000336B5">
        <w:rPr>
          <w:rFonts w:ascii="Book Antiqua" w:hAnsi="Book Antiqua"/>
          <w:i/>
          <w:iCs/>
        </w:rPr>
        <w:t>.</w:t>
      </w:r>
    </w:p>
    <w:p w14:paraId="26FDD41A" w14:textId="77777777" w:rsidR="0008504B" w:rsidRPr="00A81E9F" w:rsidRDefault="0008504B" w:rsidP="005154AB">
      <w:pPr>
        <w:ind w:left="567" w:right="474"/>
        <w:jc w:val="both"/>
        <w:rPr>
          <w:rFonts w:ascii="Book Antiqua" w:hAnsi="Book Antiqua"/>
          <w:i/>
          <w:iCs/>
        </w:rPr>
      </w:pPr>
    </w:p>
    <w:p w14:paraId="102F9795" w14:textId="7FEE8736" w:rsidR="00677689" w:rsidRDefault="0008504B" w:rsidP="00B72963">
      <w:pPr>
        <w:ind w:right="474"/>
        <w:jc w:val="both"/>
        <w:rPr>
          <w:rFonts w:ascii="Book Antiqua" w:eastAsia="Times New Roman" w:hAnsi="Book Antiqua" w:cs="Book Antiqua"/>
          <w:i/>
          <w:iCs/>
          <w:snapToGrid w:val="0"/>
          <w:lang w:eastAsia="es-ES"/>
        </w:rPr>
      </w:pPr>
      <w:r w:rsidRPr="00875FF6">
        <w:rPr>
          <w:rFonts w:ascii="Book Antiqua" w:hAnsi="Book Antiqua"/>
          <w:b/>
          <w:bCs/>
          <w:u w:val="single"/>
        </w:rPr>
        <w:t>Oficio 9159-20</w:t>
      </w:r>
      <w:r w:rsidRPr="00D20E42">
        <w:rPr>
          <w:rFonts w:ascii="Book Antiqua" w:hAnsi="Book Antiqua"/>
          <w:b/>
          <w:bCs/>
          <w:u w:val="single"/>
        </w:rPr>
        <w:t>19</w:t>
      </w:r>
      <w:r w:rsidRPr="00A53C92">
        <w:rPr>
          <w:rFonts w:ascii="Book Antiqua" w:hAnsi="Book Antiqua"/>
          <w:b/>
          <w:bCs/>
          <w:u w:val="single"/>
        </w:rPr>
        <w:t xml:space="preserve">: </w:t>
      </w:r>
      <w:r w:rsidRPr="00A53C92">
        <w:rPr>
          <w:rFonts w:ascii="Book Antiqua" w:hAnsi="Book Antiqua"/>
        </w:rPr>
        <w:t xml:space="preserve">Acuerdo tomado por el Consejo Superior del Poder Judicial, en la </w:t>
      </w:r>
      <w:r w:rsidRPr="000336B5">
        <w:rPr>
          <w:rFonts w:ascii="Book Antiqua" w:eastAsia="Times New Roman" w:hAnsi="Book Antiqua" w:cs="Book Antiqua"/>
          <w:snapToGrid w:val="0"/>
          <w:lang w:eastAsia="es-ES"/>
        </w:rPr>
        <w:t>sesión</w:t>
      </w:r>
      <w:r w:rsidRPr="000336B5">
        <w:rPr>
          <w:rFonts w:ascii="Book Antiqua" w:eastAsia="Times New Roman" w:hAnsi="Book Antiqua" w:cs="Book Antiqua"/>
          <w:b/>
          <w:bCs/>
          <w:snapToGrid w:val="0"/>
          <w:lang w:eastAsia="es-ES"/>
        </w:rPr>
        <w:t xml:space="preserve"> N°73-19</w:t>
      </w:r>
      <w:r w:rsidRPr="0036061B">
        <w:rPr>
          <w:rFonts w:ascii="Book Antiqua" w:eastAsia="Times New Roman" w:hAnsi="Book Antiqua" w:cs="Book Antiqua"/>
          <w:snapToGrid w:val="0"/>
          <w:lang w:eastAsia="es-ES"/>
        </w:rPr>
        <w:t xml:space="preserve"> </w:t>
      </w:r>
      <w:r w:rsidRPr="0036061B">
        <w:rPr>
          <w:rFonts w:ascii="Book Antiqua" w:hAnsi="Book Antiqua"/>
        </w:rPr>
        <w:t>celebrada el 20 de agosto del 2019, artículo XL</w:t>
      </w:r>
      <w:r w:rsidRPr="00875FF6">
        <w:rPr>
          <w:rFonts w:ascii="Book Antiqua" w:hAnsi="Book Antiqua"/>
        </w:rPr>
        <w:t xml:space="preserve">, en el que se conoció </w:t>
      </w:r>
      <w:r w:rsidRPr="0036061B">
        <w:rPr>
          <w:rFonts w:ascii="Book Antiqua" w:hAnsi="Book Antiqua"/>
        </w:rPr>
        <w:t>Informe 447-CACMFJ-AGA-2019 relacionado con los resultados de la labor desarrollada por los Tribunales que atienden las Apelaciones en Civil y Laboral, así como los alcanzados por las secciones que han brindado apoyo a estos tribunales, comunicado mediante oficio 317-CACMFJ-JEF-2019</w:t>
      </w:r>
      <w:r w:rsidRPr="00875FF6">
        <w:rPr>
          <w:rFonts w:ascii="Book Antiqua" w:hAnsi="Book Antiqua"/>
        </w:rPr>
        <w:t xml:space="preserve">; </w:t>
      </w:r>
      <w:r w:rsidR="00DF5C28">
        <w:rPr>
          <w:rFonts w:ascii="Book Antiqua" w:hAnsi="Book Antiqua"/>
        </w:rPr>
        <w:t xml:space="preserve">donde se </w:t>
      </w:r>
      <w:r w:rsidRPr="0036061B">
        <w:rPr>
          <w:rFonts w:ascii="Book Antiqua" w:eastAsia="Times New Roman" w:hAnsi="Book Antiqua" w:cs="Book Antiqua"/>
          <w:snapToGrid w:val="0"/>
          <w:lang w:eastAsia="es-ES"/>
        </w:rPr>
        <w:t>acordó</w:t>
      </w:r>
      <w:r w:rsidRPr="0036061B">
        <w:rPr>
          <w:rFonts w:ascii="Book Antiqua" w:eastAsia="Times New Roman" w:hAnsi="Book Antiqua" w:cs="Book Antiqua"/>
          <w:b/>
          <w:bCs/>
          <w:i/>
          <w:iCs/>
          <w:snapToGrid w:val="0"/>
          <w:lang w:eastAsia="es-ES"/>
        </w:rPr>
        <w:t>:</w:t>
      </w:r>
      <w:r w:rsidRPr="0036061B">
        <w:rPr>
          <w:rFonts w:ascii="Book Antiqua" w:eastAsia="Times New Roman" w:hAnsi="Book Antiqua" w:cs="Book Antiqua"/>
          <w:i/>
          <w:iCs/>
          <w:snapToGrid w:val="0"/>
          <w:lang w:eastAsia="es-ES"/>
        </w:rPr>
        <w:t> </w:t>
      </w:r>
    </w:p>
    <w:p w14:paraId="445E9FE5" w14:textId="5C5C11A7" w:rsidR="0008504B" w:rsidRPr="00ED3A7B" w:rsidRDefault="0008504B" w:rsidP="0084079C">
      <w:pPr>
        <w:pStyle w:val="xmsonormal"/>
        <w:spacing w:line="276" w:lineRule="auto"/>
        <w:ind w:left="567" w:right="616"/>
        <w:jc w:val="both"/>
        <w:rPr>
          <w:rFonts w:ascii="Book Antiqua" w:eastAsia="Times New Roman" w:hAnsi="Book Antiqua" w:cs="Book Antiqua"/>
          <w:i/>
          <w:iCs/>
          <w:snapToGrid w:val="0"/>
          <w:sz w:val="24"/>
          <w:szCs w:val="24"/>
          <w:lang w:eastAsia="es-ES"/>
        </w:rPr>
      </w:pPr>
      <w:r w:rsidRPr="0036061B">
        <w:rPr>
          <w:rFonts w:ascii="Book Antiqua" w:eastAsia="Times New Roman" w:hAnsi="Book Antiqua" w:cs="Book Antiqua"/>
          <w:i/>
          <w:iCs/>
          <w:snapToGrid w:val="0"/>
          <w:lang w:eastAsia="es-ES"/>
        </w:rPr>
        <w:t>“… c.) Deberá la Dirección de Planificación valorar la posibilidad de realizar en la matriz de indicadores de gestión, lo siguiente: c.1) Separar el rendimiento del personal juzgador que integra los Tribunales mixtos por materia, con el fin de que la matriz refleje la efectividad de lo atendido en la Materia Civil y Laboral, y no el porcentaje de rendimiento mezclando ambas materias como actualmente se refleja. c.2) Calcular la cuota diaria establecida para el personal juzgador en los Tribunales mixtos y especializados según la cantidad de días hábiles que corresponden al mes y no realizarlo por medio de un promedio, ya que genera que los datos estadísticos no sean exactos. c.3) Definir una cuota de producción para el personal técnico que conforma los siguientes 5 Tribunales: Tribunal de Apelaciones Civiles y de Trabajo de Alajuela, y de Puntarenas, el Tribunal de Apelación de Trabajo del Primer y Segundo Circuito Judicial de San José y el Tribunal Segundo de Apelación Civil de San José, con el fin de estandarizar las mediciones para todos los Tribunales del país. c.4) Establecer en la matriz de indicadores del Tribunal de Apelación Civil y de Trabajo de Heredia la misma cuota fijada para aquellos Tribunales de Apelación mixtos que se les estableció igual cuota de trabajo. c.5) Incluir en la matriz de indicadores de los Tribunales especializados en Materia Civil y Materia Laboral, el indicador informativo del circulante, como “circulante al iniciar” y “circulante al finalizar” como si fue incorporado en los Tribunales mixtos. c.6) Estandarizar el indicador "Cantidad de días de espera para el dictado del fallo" y "Cantidad de días de espera para el estudio del proyecto", entre ambos Tribunales de Apelación especializados en la Materia Laboral...”</w:t>
      </w:r>
      <w:r w:rsidR="000336B5">
        <w:rPr>
          <w:rFonts w:ascii="Book Antiqua" w:eastAsia="Times New Roman" w:hAnsi="Book Antiqua" w:cs="Book Antiqua"/>
          <w:i/>
          <w:iCs/>
          <w:snapToGrid w:val="0"/>
          <w:lang w:eastAsia="es-ES"/>
        </w:rPr>
        <w:t>.</w:t>
      </w:r>
    </w:p>
    <w:p w14:paraId="7D28E243" w14:textId="77777777" w:rsidR="0008504B" w:rsidRDefault="0008504B" w:rsidP="0008504B">
      <w:pPr>
        <w:widowControl w:val="0"/>
        <w:rPr>
          <w:rFonts w:ascii="Book Antiqua" w:hAnsi="Book Antiqua" w:cs="Book Antiqua"/>
          <w:snapToGrid w:val="0"/>
          <w:sz w:val="24"/>
          <w:szCs w:val="24"/>
        </w:rPr>
      </w:pPr>
    </w:p>
    <w:p w14:paraId="247D2EE2" w14:textId="41F5A9A2" w:rsidR="0008504B" w:rsidRPr="00571F83" w:rsidRDefault="00A63EA2" w:rsidP="0008504B">
      <w:pPr>
        <w:jc w:val="both"/>
        <w:rPr>
          <w:rFonts w:ascii="Book Antiqua" w:hAnsi="Book Antiqua"/>
          <w:u w:val="single"/>
        </w:rPr>
      </w:pPr>
      <w:r>
        <w:rPr>
          <w:rFonts w:ascii="Book Antiqua" w:hAnsi="Book Antiqua"/>
        </w:rPr>
        <w:t xml:space="preserve">Con el </w:t>
      </w:r>
      <w:r w:rsidR="00167281">
        <w:rPr>
          <w:rFonts w:ascii="Book Antiqua" w:hAnsi="Book Antiqua"/>
        </w:rPr>
        <w:t xml:space="preserve"> presente informe se da atención </w:t>
      </w:r>
      <w:r>
        <w:rPr>
          <w:rFonts w:ascii="Book Antiqua" w:hAnsi="Book Antiqua"/>
        </w:rPr>
        <w:t>a las recomendaciones</w:t>
      </w:r>
      <w:r w:rsidR="00311A80">
        <w:rPr>
          <w:rFonts w:ascii="Book Antiqua" w:hAnsi="Book Antiqua"/>
        </w:rPr>
        <w:t xml:space="preserve"> </w:t>
      </w:r>
      <w:r w:rsidR="00167281">
        <w:rPr>
          <w:rFonts w:ascii="Book Antiqua" w:hAnsi="Book Antiqua"/>
        </w:rPr>
        <w:t>parcialmente</w:t>
      </w:r>
      <w:r w:rsidR="00311A80">
        <w:rPr>
          <w:rFonts w:ascii="Book Antiqua" w:hAnsi="Book Antiqua"/>
        </w:rPr>
        <w:t xml:space="preserve">, </w:t>
      </w:r>
      <w:r w:rsidR="00167281">
        <w:rPr>
          <w:rFonts w:ascii="Book Antiqua" w:hAnsi="Book Antiqua"/>
        </w:rPr>
        <w:t xml:space="preserve"> con la </w:t>
      </w:r>
      <w:r>
        <w:rPr>
          <w:rFonts w:ascii="Book Antiqua" w:hAnsi="Book Antiqua"/>
        </w:rPr>
        <w:t xml:space="preserve">excepción de </w:t>
      </w:r>
      <w:r w:rsidR="0008504B">
        <w:rPr>
          <w:rFonts w:ascii="Book Antiqua" w:hAnsi="Book Antiqua"/>
        </w:rPr>
        <w:t xml:space="preserve">las recomendaciones </w:t>
      </w:r>
      <w:r w:rsidR="0008504B" w:rsidRPr="007737B3">
        <w:rPr>
          <w:rFonts w:ascii="Book Antiqua" w:hAnsi="Book Antiqua"/>
        </w:rPr>
        <w:t>“</w:t>
      </w:r>
      <w:r w:rsidR="0008504B" w:rsidRPr="0036061B">
        <w:rPr>
          <w:rFonts w:ascii="Book Antiqua" w:hAnsi="Book Antiqua"/>
          <w:i/>
          <w:iCs/>
          <w:color w:val="000000"/>
          <w:lang w:eastAsia="es-CR"/>
        </w:rPr>
        <w:t xml:space="preserve">3) Definir una cuota de producción para el personal técnico que conforma los siguientes 5 Tribunales: Tribunal de Apelaciones Civiles y de Trabajo de Alajuela, </w:t>
      </w:r>
      <w:r w:rsidR="0008504B" w:rsidRPr="0036061B">
        <w:rPr>
          <w:rFonts w:ascii="Book Antiqua" w:hAnsi="Book Antiqua"/>
          <w:i/>
          <w:iCs/>
          <w:color w:val="000000"/>
          <w:lang w:eastAsia="es-CR"/>
        </w:rPr>
        <w:lastRenderedPageBreak/>
        <w:t>y de Puntarenas, el Tribunal de Apelación de Trabajo del Primer y Segundo Circuito Judicial de San José y el Tribunal Segundo de Apelación Civil de San José, con el fin de estandarizar las mediciones para todos los Tribunales del país</w:t>
      </w:r>
      <w:r w:rsidR="0008504B" w:rsidRPr="007737B3">
        <w:rPr>
          <w:rFonts w:ascii="Book Antiqua" w:hAnsi="Book Antiqua"/>
          <w:i/>
          <w:iCs/>
        </w:rPr>
        <w:t xml:space="preserve">” </w:t>
      </w:r>
      <w:r w:rsidR="0008504B">
        <w:rPr>
          <w:rFonts w:ascii="Book Antiqua" w:hAnsi="Book Antiqua"/>
          <w:i/>
          <w:iCs/>
        </w:rPr>
        <w:t xml:space="preserve">y la recomendación </w:t>
      </w:r>
      <w:r w:rsidR="0008504B" w:rsidRPr="0036061B">
        <w:rPr>
          <w:rFonts w:ascii="Book Antiqua" w:hAnsi="Book Antiqua"/>
          <w:i/>
          <w:iCs/>
          <w:color w:val="000000"/>
          <w:lang w:eastAsia="es-CR"/>
        </w:rPr>
        <w:t>6) Estandarizar el indicador "Cantidad de días de espera para el dictado del fallo" y "Cantidad de días de espera para el estudio del proyecto", entre ambos Tribunales de Apelación especializados en la Materia Laboral.”…”</w:t>
      </w:r>
      <w:r w:rsidR="0008504B">
        <w:rPr>
          <w:rFonts w:ascii="Book Antiqua" w:hAnsi="Book Antiqua"/>
          <w:i/>
          <w:iCs/>
        </w:rPr>
        <w:t xml:space="preserve"> </w:t>
      </w:r>
      <w:r w:rsidR="0008504B" w:rsidRPr="0036061B">
        <w:rPr>
          <w:rFonts w:ascii="Book Antiqua" w:hAnsi="Book Antiqua"/>
        </w:rPr>
        <w:t xml:space="preserve">las cuales </w:t>
      </w:r>
      <w:r w:rsidR="0008504B" w:rsidRPr="007737B3">
        <w:rPr>
          <w:rFonts w:ascii="Book Antiqua" w:hAnsi="Book Antiqua"/>
        </w:rPr>
        <w:t>se atenderá</w:t>
      </w:r>
      <w:r w:rsidR="0008504B">
        <w:rPr>
          <w:rFonts w:ascii="Book Antiqua" w:hAnsi="Book Antiqua"/>
        </w:rPr>
        <w:t>n</w:t>
      </w:r>
      <w:r w:rsidR="0008504B" w:rsidRPr="007737B3">
        <w:rPr>
          <w:rFonts w:ascii="Book Antiqua" w:hAnsi="Book Antiqua"/>
        </w:rPr>
        <w:t xml:space="preserve"> por medio de un informe posterior. </w:t>
      </w:r>
    </w:p>
    <w:p w14:paraId="4AA58174" w14:textId="77777777" w:rsidR="00182ED4" w:rsidRDefault="00182ED4" w:rsidP="005A4175">
      <w:pPr>
        <w:jc w:val="both"/>
        <w:rPr>
          <w:rFonts w:ascii="Book Antiqua" w:hAnsi="Book Antiqua"/>
          <w:b/>
          <w:bCs/>
          <w:u w:val="single"/>
        </w:rPr>
      </w:pPr>
    </w:p>
    <w:p w14:paraId="00606B3C" w14:textId="772E6A00" w:rsidR="00C0777E" w:rsidRPr="00D611CE" w:rsidRDefault="00601AA2" w:rsidP="005A4175">
      <w:pPr>
        <w:jc w:val="both"/>
        <w:rPr>
          <w:rFonts w:ascii="Book Antiqua" w:hAnsi="Book Antiqua"/>
          <w:b/>
          <w:bCs/>
          <w:u w:val="single"/>
        </w:rPr>
      </w:pPr>
      <w:r w:rsidRPr="00A81E9F">
        <w:rPr>
          <w:rFonts w:ascii="Book Antiqua" w:hAnsi="Book Antiqua"/>
          <w:b/>
          <w:bCs/>
          <w:u w:val="single"/>
        </w:rPr>
        <w:t xml:space="preserve">Oficio </w:t>
      </w:r>
      <w:r w:rsidR="005A4175" w:rsidRPr="00A81E9F">
        <w:rPr>
          <w:rFonts w:ascii="Book Antiqua" w:hAnsi="Book Antiqua"/>
          <w:b/>
          <w:bCs/>
          <w:u w:val="single"/>
        </w:rPr>
        <w:t>10515-18</w:t>
      </w:r>
      <w:r w:rsidR="00C0777E" w:rsidRPr="00A81E9F">
        <w:rPr>
          <w:rFonts w:ascii="Book Antiqua" w:hAnsi="Book Antiqua"/>
          <w:b/>
          <w:bCs/>
          <w:u w:val="single"/>
        </w:rPr>
        <w:t>:</w:t>
      </w:r>
      <w:r w:rsidR="005154AB" w:rsidRPr="00A81E9F">
        <w:rPr>
          <w:rFonts w:ascii="Book Antiqua" w:hAnsi="Book Antiqua"/>
          <w:b/>
          <w:bCs/>
          <w:u w:val="single"/>
        </w:rPr>
        <w:t xml:space="preserve"> </w:t>
      </w:r>
      <w:r w:rsidR="005154AB" w:rsidRPr="00A81E9F">
        <w:rPr>
          <w:rFonts w:ascii="Book Antiqua" w:hAnsi="Book Antiqua"/>
        </w:rPr>
        <w:t xml:space="preserve">Acuerdo tomado por el Consejo Superior del Poder Judicial, en la sesión </w:t>
      </w:r>
      <w:r w:rsidR="005154AB" w:rsidRPr="00A81E9F">
        <w:rPr>
          <w:rFonts w:ascii="Book Antiqua" w:hAnsi="Book Antiqua"/>
          <w:b/>
          <w:bCs/>
        </w:rPr>
        <w:t>N° 84</w:t>
      </w:r>
      <w:r w:rsidR="005154AB" w:rsidRPr="00D611CE">
        <w:rPr>
          <w:rFonts w:ascii="Book Antiqua" w:hAnsi="Book Antiqua"/>
          <w:b/>
          <w:bCs/>
        </w:rPr>
        <w:t>-18</w:t>
      </w:r>
      <w:r w:rsidR="005154AB" w:rsidRPr="00D611CE">
        <w:rPr>
          <w:rFonts w:ascii="Book Antiqua" w:hAnsi="Book Antiqua"/>
        </w:rPr>
        <w:t xml:space="preserve"> celebrada el</w:t>
      </w:r>
      <w:r w:rsidR="005154AB" w:rsidRPr="00D611CE">
        <w:rPr>
          <w:rFonts w:ascii="Book Antiqua" w:hAnsi="Book Antiqua"/>
          <w:b/>
          <w:bCs/>
        </w:rPr>
        <w:t xml:space="preserve"> 25 de setiembre del 2018</w:t>
      </w:r>
      <w:r w:rsidR="005154AB" w:rsidRPr="00D611CE">
        <w:rPr>
          <w:rFonts w:ascii="Book Antiqua" w:hAnsi="Book Antiqua"/>
        </w:rPr>
        <w:t xml:space="preserve">, artículo LXXIV. </w:t>
      </w:r>
    </w:p>
    <w:p w14:paraId="729B1E20" w14:textId="61EFB21F" w:rsidR="00C0777E" w:rsidRPr="00D611CE" w:rsidRDefault="00CE51E2" w:rsidP="00CE51E2">
      <w:pPr>
        <w:widowControl w:val="0"/>
        <w:spacing w:after="0" w:line="240" w:lineRule="auto"/>
        <w:ind w:left="567" w:right="474"/>
        <w:jc w:val="both"/>
        <w:rPr>
          <w:rFonts w:ascii="Book Antiqua" w:hAnsi="Book Antiqua"/>
          <w:bCs/>
          <w:i/>
          <w:iCs/>
          <w:snapToGrid w:val="0"/>
          <w:lang w:eastAsia="es-CR"/>
        </w:rPr>
      </w:pPr>
      <w:r w:rsidRPr="00D611CE">
        <w:rPr>
          <w:rFonts w:ascii="Book Antiqua" w:hAnsi="Book Antiqua"/>
          <w:bCs/>
          <w:i/>
          <w:iCs/>
          <w:snapToGrid w:val="0"/>
          <w:lang w:eastAsia="es-CR"/>
        </w:rPr>
        <w:t>“…</w:t>
      </w:r>
      <w:r w:rsidR="00C0777E" w:rsidRPr="00D611CE">
        <w:rPr>
          <w:rFonts w:ascii="Book Antiqua" w:hAnsi="Book Antiqua"/>
          <w:bCs/>
          <w:i/>
          <w:iCs/>
          <w:snapToGrid w:val="0"/>
          <w:lang w:eastAsia="es-CR"/>
        </w:rPr>
        <w:t>Para la Dirección de Planificación realizar los siguientes abordajes:</w:t>
      </w:r>
    </w:p>
    <w:p w14:paraId="43DFB7D2" w14:textId="77777777" w:rsidR="00C0777E" w:rsidRPr="00D611CE" w:rsidRDefault="00C0777E" w:rsidP="009C259C">
      <w:pPr>
        <w:pStyle w:val="NormalWeb"/>
        <w:widowControl w:val="0"/>
        <w:numPr>
          <w:ilvl w:val="0"/>
          <w:numId w:val="4"/>
        </w:numPr>
        <w:suppressAutoHyphens w:val="0"/>
        <w:spacing w:before="0" w:after="0"/>
        <w:ind w:left="567" w:right="474" w:firstLine="709"/>
        <w:jc w:val="both"/>
        <w:rPr>
          <w:rFonts w:ascii="Book Antiqua" w:hAnsi="Book Antiqua"/>
          <w:bCs/>
          <w:i/>
          <w:iCs/>
          <w:sz w:val="22"/>
          <w:szCs w:val="22"/>
          <w:lang w:val="es-CR"/>
        </w:rPr>
      </w:pPr>
      <w:r w:rsidRPr="00D611CE">
        <w:rPr>
          <w:rFonts w:ascii="Book Antiqua" w:hAnsi="Book Antiqua"/>
          <w:bCs/>
          <w:i/>
          <w:iCs/>
          <w:sz w:val="22"/>
          <w:szCs w:val="22"/>
          <w:lang w:val="es-CR"/>
        </w:rPr>
        <w:t>En complemento al acuerdo del Consejo Superior de la sesión n</w:t>
      </w:r>
      <w:r w:rsidRPr="00D611CE">
        <w:rPr>
          <w:rFonts w:ascii="Book Antiqua" w:hAnsi="Book Antiqua"/>
          <w:bCs/>
          <w:i/>
          <w:iCs/>
          <w:sz w:val="22"/>
          <w:szCs w:val="22"/>
          <w:vertAlign w:val="superscript"/>
          <w:lang w:val="es-CR"/>
        </w:rPr>
        <w:t>o</w:t>
      </w:r>
      <w:r w:rsidRPr="00D611CE">
        <w:rPr>
          <w:rFonts w:ascii="Book Antiqua" w:hAnsi="Book Antiqua"/>
          <w:bCs/>
          <w:i/>
          <w:iCs/>
          <w:sz w:val="22"/>
          <w:szCs w:val="22"/>
          <w:lang w:val="es-CR"/>
        </w:rPr>
        <w:t xml:space="preserve"> 58-2018, del 28 de junio del 2018, donde se conoció el oficio 234-CACMFJ-JEF-2018, se le solicita con el abordaje que deben realizar analizar adicionalmente lo siguiente:</w:t>
      </w:r>
    </w:p>
    <w:p w14:paraId="789BD96A" w14:textId="77777777" w:rsidR="00C0777E" w:rsidRPr="00D611CE" w:rsidRDefault="00C0777E" w:rsidP="009C259C">
      <w:pPr>
        <w:pStyle w:val="NormalWeb"/>
        <w:widowControl w:val="0"/>
        <w:numPr>
          <w:ilvl w:val="1"/>
          <w:numId w:val="5"/>
        </w:numPr>
        <w:suppressAutoHyphens w:val="0"/>
        <w:spacing w:before="0" w:after="0"/>
        <w:ind w:left="567" w:right="474" w:firstLine="709"/>
        <w:jc w:val="both"/>
        <w:rPr>
          <w:rFonts w:ascii="Book Antiqua" w:hAnsi="Book Antiqua"/>
          <w:bCs/>
          <w:i/>
          <w:iCs/>
          <w:sz w:val="22"/>
          <w:szCs w:val="22"/>
          <w:lang w:val="es-CR"/>
        </w:rPr>
      </w:pPr>
      <w:r w:rsidRPr="00D611CE">
        <w:rPr>
          <w:rFonts w:ascii="Book Antiqua" w:hAnsi="Book Antiqua"/>
          <w:bCs/>
          <w:i/>
          <w:iCs/>
          <w:sz w:val="22"/>
          <w:szCs w:val="22"/>
          <w:lang w:val="es-CR"/>
        </w:rPr>
        <w:t xml:space="preserve"> A las plazas de persona juzgadora coordinadora de los 11 Tribunales de Apelación y se les asigne una cuota diferencia por el recargo de la coordinación por los asuntos administrativos que deben atender.</w:t>
      </w:r>
    </w:p>
    <w:p w14:paraId="0DF0A774" w14:textId="77777777" w:rsidR="00C0777E" w:rsidRPr="00D611CE" w:rsidRDefault="00C0777E" w:rsidP="009C259C">
      <w:pPr>
        <w:pStyle w:val="NormalWeb"/>
        <w:widowControl w:val="0"/>
        <w:numPr>
          <w:ilvl w:val="1"/>
          <w:numId w:val="5"/>
        </w:numPr>
        <w:suppressAutoHyphens w:val="0"/>
        <w:spacing w:before="0" w:after="0"/>
        <w:ind w:left="567" w:right="474" w:firstLine="709"/>
        <w:jc w:val="both"/>
        <w:rPr>
          <w:rFonts w:ascii="Book Antiqua" w:hAnsi="Book Antiqua"/>
          <w:bCs/>
          <w:i/>
          <w:iCs/>
          <w:sz w:val="22"/>
          <w:szCs w:val="22"/>
          <w:lang w:val="es-CR"/>
        </w:rPr>
      </w:pPr>
      <w:r w:rsidRPr="00D611CE">
        <w:rPr>
          <w:rFonts w:ascii="Book Antiqua" w:hAnsi="Book Antiqua"/>
          <w:bCs/>
          <w:i/>
          <w:iCs/>
          <w:sz w:val="22"/>
          <w:szCs w:val="22"/>
          <w:lang w:val="es-CR"/>
        </w:rPr>
        <w:t>Considerar en el análisis solicitado la estructura actual del Tribunal de Apelaciones Civil y Trabajo de la Zona Atlántica, sede Limón, para poder replicarla en otros Tribunales de Apelación regionalizados.</w:t>
      </w:r>
    </w:p>
    <w:p w14:paraId="6454CF00" w14:textId="77777777" w:rsidR="00C0777E" w:rsidRPr="00D611CE" w:rsidRDefault="00C0777E" w:rsidP="009C259C">
      <w:pPr>
        <w:pStyle w:val="NormalWeb"/>
        <w:widowControl w:val="0"/>
        <w:numPr>
          <w:ilvl w:val="1"/>
          <w:numId w:val="5"/>
        </w:numPr>
        <w:suppressAutoHyphens w:val="0"/>
        <w:spacing w:before="0" w:after="0"/>
        <w:ind w:left="567" w:right="474" w:firstLine="709"/>
        <w:jc w:val="both"/>
        <w:rPr>
          <w:rFonts w:ascii="Book Antiqua" w:hAnsi="Book Antiqua"/>
          <w:bCs/>
          <w:i/>
          <w:iCs/>
          <w:sz w:val="22"/>
          <w:szCs w:val="22"/>
          <w:lang w:val="es-CR"/>
        </w:rPr>
      </w:pPr>
      <w:r w:rsidRPr="00D611CE">
        <w:rPr>
          <w:rFonts w:ascii="Book Antiqua" w:hAnsi="Book Antiqua"/>
          <w:bCs/>
          <w:i/>
          <w:iCs/>
          <w:sz w:val="22"/>
          <w:szCs w:val="22"/>
          <w:lang w:val="es-CR"/>
        </w:rPr>
        <w:t>Establecer los indicadores para las plazas de Coordinador Judicial y Técnico Judicial de todos los Tribunales de Apelación Civiles, Laborales y Regionalizados.</w:t>
      </w:r>
    </w:p>
    <w:p w14:paraId="2496263E" w14:textId="77777777" w:rsidR="00C0777E" w:rsidRPr="00D611CE" w:rsidRDefault="00C0777E" w:rsidP="009C259C">
      <w:pPr>
        <w:pStyle w:val="NormalWeb"/>
        <w:widowControl w:val="0"/>
        <w:numPr>
          <w:ilvl w:val="0"/>
          <w:numId w:val="6"/>
        </w:numPr>
        <w:suppressAutoHyphens w:val="0"/>
        <w:spacing w:before="0" w:after="0"/>
        <w:ind w:left="567" w:right="474" w:firstLine="709"/>
        <w:jc w:val="both"/>
        <w:rPr>
          <w:rFonts w:ascii="Book Antiqua" w:hAnsi="Book Antiqua"/>
          <w:bCs/>
          <w:i/>
          <w:iCs/>
          <w:sz w:val="22"/>
          <w:szCs w:val="22"/>
          <w:lang w:val="es-CR"/>
        </w:rPr>
      </w:pPr>
      <w:r w:rsidRPr="00D611CE">
        <w:rPr>
          <w:rFonts w:ascii="Book Antiqua" w:hAnsi="Book Antiqua"/>
          <w:bCs/>
          <w:i/>
          <w:iCs/>
          <w:sz w:val="22"/>
          <w:szCs w:val="22"/>
          <w:lang w:val="es-CR"/>
        </w:rPr>
        <w:t>Para la Dirección de Planificación; analizar la posibilidad ayuda al Tribunal de Apelaciones Civil y Trabajo de Alajuela, estableciendo un plan de trabajo con las secciones de apoyo desde el primer día hábil de noviembre hasta el último día hábil de diciembre; dado la situación de crecimiento en su circulante del 13,12%, que equivale a 108 procesos. Cabe destacar, que el plan de ayuda para el Tribunal de Apelaciones de Trabajo del Segundo Circuito Judicial de San José, finaliza en el mes de noviembre.</w:t>
      </w:r>
    </w:p>
    <w:p w14:paraId="43ADC058" w14:textId="531E0903" w:rsidR="009F7665" w:rsidRPr="00D73572" w:rsidRDefault="00CE51E2" w:rsidP="00CE51E2">
      <w:pPr>
        <w:ind w:left="567" w:right="474"/>
        <w:jc w:val="both"/>
        <w:rPr>
          <w:rFonts w:ascii="Book Antiqua" w:hAnsi="Book Antiqua"/>
          <w:i/>
          <w:iCs/>
        </w:rPr>
      </w:pPr>
      <w:r w:rsidRPr="00D611CE">
        <w:rPr>
          <w:rFonts w:ascii="Book Antiqua" w:hAnsi="Book Antiqua"/>
          <w:i/>
          <w:iCs/>
        </w:rPr>
        <w:t>…”</w:t>
      </w:r>
      <w:r w:rsidR="000336B5">
        <w:rPr>
          <w:rFonts w:ascii="Book Antiqua" w:hAnsi="Book Antiqua"/>
          <w:i/>
          <w:iCs/>
        </w:rPr>
        <w:t>.</w:t>
      </w:r>
      <w:r w:rsidR="00AC2130" w:rsidRPr="00D73572">
        <w:rPr>
          <w:rFonts w:ascii="Book Antiqua" w:hAnsi="Book Antiqua"/>
          <w:i/>
          <w:iCs/>
        </w:rPr>
        <w:t xml:space="preserve"> </w:t>
      </w:r>
    </w:p>
    <w:p w14:paraId="36C1F2B5" w14:textId="19B059AB" w:rsidR="004D1ED3" w:rsidRPr="00571F83" w:rsidRDefault="00571F83" w:rsidP="005A4175">
      <w:pPr>
        <w:jc w:val="both"/>
        <w:rPr>
          <w:rFonts w:ascii="Book Antiqua" w:hAnsi="Book Antiqua"/>
          <w:u w:val="single"/>
        </w:rPr>
      </w:pPr>
      <w:r w:rsidRPr="007737B3">
        <w:rPr>
          <w:rFonts w:ascii="Book Antiqua" w:hAnsi="Book Antiqua"/>
        </w:rPr>
        <w:t>Excepto el punto “</w:t>
      </w:r>
      <w:r w:rsidRPr="007737B3">
        <w:rPr>
          <w:rFonts w:ascii="Book Antiqua" w:hAnsi="Book Antiqua"/>
          <w:i/>
          <w:iCs/>
        </w:rPr>
        <w:t>Establecer los indicadores para las plazas de Coordinador Judicial y Técnico Judicial de todos los Tribunales</w:t>
      </w:r>
      <w:r w:rsidRPr="00571F83">
        <w:rPr>
          <w:rFonts w:ascii="Book Antiqua" w:hAnsi="Book Antiqua"/>
          <w:i/>
          <w:iCs/>
        </w:rPr>
        <w:t xml:space="preserve"> de Apelación Civiles, Laborales y </w:t>
      </w:r>
      <w:r w:rsidRPr="007737B3">
        <w:rPr>
          <w:rFonts w:ascii="Book Antiqua" w:hAnsi="Book Antiqua"/>
          <w:i/>
          <w:iCs/>
        </w:rPr>
        <w:t>Regionalizados” que</w:t>
      </w:r>
      <w:r w:rsidRPr="007737B3">
        <w:rPr>
          <w:rFonts w:ascii="Book Antiqua" w:hAnsi="Book Antiqua"/>
        </w:rPr>
        <w:t xml:space="preserve"> se atenderá por medio de </w:t>
      </w:r>
      <w:r w:rsidR="00CA19C4" w:rsidRPr="007737B3">
        <w:rPr>
          <w:rFonts w:ascii="Book Antiqua" w:hAnsi="Book Antiqua"/>
        </w:rPr>
        <w:t xml:space="preserve">un </w:t>
      </w:r>
      <w:r w:rsidRPr="007737B3">
        <w:rPr>
          <w:rFonts w:ascii="Book Antiqua" w:hAnsi="Book Antiqua"/>
        </w:rPr>
        <w:t>informe</w:t>
      </w:r>
      <w:r w:rsidR="00CA19C4" w:rsidRPr="007737B3">
        <w:rPr>
          <w:rFonts w:ascii="Book Antiqua" w:hAnsi="Book Antiqua"/>
        </w:rPr>
        <w:t xml:space="preserve"> posterior</w:t>
      </w:r>
      <w:r w:rsidRPr="007737B3">
        <w:rPr>
          <w:rFonts w:ascii="Book Antiqua" w:hAnsi="Book Antiqua"/>
        </w:rPr>
        <w:t xml:space="preserve">. </w:t>
      </w:r>
    </w:p>
    <w:p w14:paraId="79F7E951" w14:textId="3D5E6F42" w:rsidR="009F7665" w:rsidRPr="00D73572" w:rsidRDefault="00601AA2" w:rsidP="005A4175">
      <w:pPr>
        <w:jc w:val="both"/>
        <w:rPr>
          <w:rFonts w:ascii="Book Antiqua" w:hAnsi="Book Antiqua"/>
          <w:b/>
          <w:bCs/>
          <w:u w:val="single"/>
        </w:rPr>
      </w:pPr>
      <w:r w:rsidRPr="00D73572">
        <w:rPr>
          <w:rFonts w:ascii="Book Antiqua" w:hAnsi="Book Antiqua"/>
          <w:b/>
          <w:bCs/>
          <w:u w:val="single"/>
        </w:rPr>
        <w:t xml:space="preserve">Oficio </w:t>
      </w:r>
      <w:r w:rsidR="00AC2130" w:rsidRPr="00D73572">
        <w:rPr>
          <w:rFonts w:ascii="Book Antiqua" w:hAnsi="Book Antiqua"/>
          <w:b/>
          <w:bCs/>
          <w:u w:val="single"/>
        </w:rPr>
        <w:t>11240-17</w:t>
      </w:r>
      <w:r w:rsidRPr="00D73572">
        <w:rPr>
          <w:rFonts w:ascii="Book Antiqua" w:hAnsi="Book Antiqua"/>
          <w:b/>
          <w:bCs/>
          <w:u w:val="single"/>
        </w:rPr>
        <w:t>:</w:t>
      </w:r>
      <w:r w:rsidR="00AC2130" w:rsidRPr="00D73572">
        <w:rPr>
          <w:rFonts w:ascii="Book Antiqua" w:hAnsi="Book Antiqua"/>
          <w:b/>
          <w:bCs/>
          <w:u w:val="single"/>
        </w:rPr>
        <w:t xml:space="preserve"> </w:t>
      </w:r>
      <w:r w:rsidR="005154AB" w:rsidRPr="00D73572">
        <w:rPr>
          <w:rFonts w:ascii="Book Antiqua" w:hAnsi="Book Antiqua"/>
        </w:rPr>
        <w:t xml:space="preserve">Acuerdo tomado por el Consejo Superior del Poder Judicial, en la sesión </w:t>
      </w:r>
      <w:r w:rsidR="005154AB" w:rsidRPr="00D73572">
        <w:rPr>
          <w:rFonts w:ascii="Book Antiqua" w:hAnsi="Book Antiqua"/>
          <w:b/>
          <w:bCs/>
        </w:rPr>
        <w:t>N° 85-17</w:t>
      </w:r>
      <w:r w:rsidR="005154AB" w:rsidRPr="00D73572">
        <w:rPr>
          <w:rFonts w:ascii="Book Antiqua" w:hAnsi="Book Antiqua"/>
        </w:rPr>
        <w:t xml:space="preserve"> celebrada el</w:t>
      </w:r>
      <w:r w:rsidR="005154AB" w:rsidRPr="00D73572">
        <w:rPr>
          <w:rFonts w:ascii="Book Antiqua" w:hAnsi="Book Antiqua"/>
          <w:b/>
          <w:bCs/>
        </w:rPr>
        <w:t xml:space="preserve"> 19 de setiembre del 2017</w:t>
      </w:r>
      <w:r w:rsidR="005154AB" w:rsidRPr="00D73572">
        <w:rPr>
          <w:rFonts w:ascii="Book Antiqua" w:hAnsi="Book Antiqua"/>
        </w:rPr>
        <w:t xml:space="preserve">, artículo LXXV. </w:t>
      </w:r>
    </w:p>
    <w:p w14:paraId="535C7D50" w14:textId="424C8DA8" w:rsidR="00C0777E" w:rsidRPr="00D73572" w:rsidRDefault="00CE51E2" w:rsidP="00CE51E2">
      <w:pPr>
        <w:ind w:left="567" w:right="474"/>
        <w:jc w:val="both"/>
        <w:rPr>
          <w:rFonts w:ascii="Book Antiqua" w:hAnsi="Book Antiqua"/>
          <w:i/>
          <w:iCs/>
        </w:rPr>
      </w:pPr>
      <w:r w:rsidRPr="00D73572">
        <w:rPr>
          <w:rFonts w:ascii="Book Antiqua" w:hAnsi="Book Antiqua"/>
          <w:b/>
          <w:i/>
          <w:iCs/>
        </w:rPr>
        <w:t>“…</w:t>
      </w:r>
      <w:r w:rsidR="00C0777E" w:rsidRPr="00D73572">
        <w:rPr>
          <w:rFonts w:ascii="Book Antiqua" w:hAnsi="Book Antiqua"/>
          <w:i/>
          <w:iCs/>
        </w:rPr>
        <w:t xml:space="preserve"> Solicitar a la Dirección de Planificación que lleve a cabo una revisión de la vigencia de las cuotas establecidas con la implementación del nuevo Código Procesal Civil al cambiar competencias y procesos y remitir a este órgano, oportunamente, un nuevo estudio</w:t>
      </w:r>
      <w:r w:rsidRPr="00D73572">
        <w:rPr>
          <w:rFonts w:ascii="Book Antiqua" w:hAnsi="Book Antiqua"/>
          <w:i/>
          <w:iCs/>
        </w:rPr>
        <w:t>…”</w:t>
      </w:r>
      <w:r w:rsidR="000336B5">
        <w:rPr>
          <w:rFonts w:ascii="Book Antiqua" w:hAnsi="Book Antiqua"/>
          <w:i/>
          <w:iCs/>
        </w:rPr>
        <w:t>.</w:t>
      </w:r>
    </w:p>
    <w:p w14:paraId="7E45230C" w14:textId="77777777" w:rsidR="00182ED4" w:rsidRPr="00D73572" w:rsidRDefault="00182ED4" w:rsidP="002F1CC2">
      <w:pPr>
        <w:autoSpaceDE w:val="0"/>
        <w:autoSpaceDN w:val="0"/>
        <w:adjustRightInd w:val="0"/>
        <w:spacing w:after="0" w:line="240" w:lineRule="auto"/>
        <w:rPr>
          <w:rFonts w:ascii="Book Antiqua" w:hAnsi="Book Antiqua" w:cs="Arial"/>
        </w:rPr>
      </w:pPr>
    </w:p>
    <w:p w14:paraId="0590247D" w14:textId="000D09ED" w:rsidR="00601AA2" w:rsidRPr="00D73572" w:rsidRDefault="005154AB" w:rsidP="005A4175">
      <w:pPr>
        <w:jc w:val="both"/>
        <w:rPr>
          <w:rFonts w:ascii="Book Antiqua" w:hAnsi="Book Antiqua"/>
          <w:sz w:val="24"/>
        </w:rPr>
      </w:pPr>
      <w:r w:rsidRPr="00D73572">
        <w:rPr>
          <w:rFonts w:ascii="Book Antiqua" w:hAnsi="Book Antiqua"/>
          <w:b/>
          <w:bCs/>
          <w:u w:val="single"/>
        </w:rPr>
        <w:lastRenderedPageBreak/>
        <w:t xml:space="preserve">Solicitud de Rodrigo Campos Esquivel, Coordinador del Tribunal de Apelaciones Civil y Trabajo de Guanacaste. </w:t>
      </w:r>
      <w:r w:rsidRPr="00D73572">
        <w:rPr>
          <w:rFonts w:ascii="Book Antiqua" w:hAnsi="Book Antiqua"/>
        </w:rPr>
        <w:t xml:space="preserve">Vía correo electrónico del </w:t>
      </w:r>
      <w:r w:rsidR="00CE51E2" w:rsidRPr="00D73572">
        <w:rPr>
          <w:rFonts w:ascii="Book Antiqua" w:hAnsi="Book Antiqua"/>
        </w:rPr>
        <w:t xml:space="preserve">miércoles 1 de agosto del 2018. </w:t>
      </w:r>
      <w:r w:rsidRPr="00D73572">
        <w:rPr>
          <w:rFonts w:ascii="Book Antiqua" w:hAnsi="Book Antiqua"/>
          <w:b/>
          <w:bCs/>
          <w:u w:val="single"/>
        </w:rPr>
        <w:t xml:space="preserve"> </w:t>
      </w:r>
    </w:p>
    <w:p w14:paraId="50C82EC7" w14:textId="649442F9" w:rsidR="002A26D5" w:rsidRDefault="00CE51E2" w:rsidP="00B95F69">
      <w:pPr>
        <w:ind w:left="567" w:right="474"/>
        <w:jc w:val="both"/>
        <w:rPr>
          <w:rFonts w:ascii="Book Antiqua" w:hAnsi="Book Antiqua"/>
          <w:b/>
          <w:u w:val="single"/>
        </w:rPr>
      </w:pPr>
      <w:r w:rsidRPr="00D73572">
        <w:rPr>
          <w:rFonts w:ascii="Book Antiqua" w:hAnsi="Book Antiqua"/>
          <w:color w:val="000000"/>
        </w:rPr>
        <w:t>“…</w:t>
      </w:r>
      <w:r w:rsidR="00601AA2" w:rsidRPr="00D73572">
        <w:rPr>
          <w:rFonts w:ascii="Book Antiqua" w:hAnsi="Book Antiqua"/>
          <w:color w:val="000000"/>
        </w:rPr>
        <w:t>Tribunal de Apelación Civil y Laboral de Guanacaste</w:t>
      </w:r>
      <w:r w:rsidR="00601AA2" w:rsidRPr="00D73572">
        <w:rPr>
          <w:rFonts w:ascii="Book Antiqua" w:hAnsi="Book Antiqua"/>
          <w:i/>
          <w:iCs/>
          <w:sz w:val="20"/>
          <w:szCs w:val="20"/>
        </w:rPr>
        <w:t xml:space="preserve"> </w:t>
      </w:r>
      <w:r w:rsidR="00601AA2" w:rsidRPr="00D73572">
        <w:rPr>
          <w:rFonts w:ascii="Book Antiqua" w:hAnsi="Book Antiqua"/>
          <w:i/>
          <w:iCs/>
        </w:rPr>
        <w:t>“…</w:t>
      </w:r>
      <w:r w:rsidR="00601AA2" w:rsidRPr="00D611CE">
        <w:rPr>
          <w:rFonts w:ascii="Book Antiqua" w:hAnsi="Book Antiqua"/>
          <w:i/>
          <w:iCs/>
        </w:rPr>
        <w:t>solicito se realice un estudio a fin de verificar la posibilidad de implementar el puesto de Juez Tramitador (a) en esta oficina. Este Despacho es de reciente creación (26 de julio del 2017),</w:t>
      </w:r>
      <w:r w:rsidR="00601AA2" w:rsidRPr="00D73572">
        <w:rPr>
          <w:rFonts w:ascii="Book Antiqua" w:hAnsi="Book Antiqua"/>
          <w:i/>
          <w:iCs/>
        </w:rPr>
        <w:t xml:space="preserve"> siendo que desde su inicio no se implementó dicho puesto, a pesar de la necesidad de contar con </w:t>
      </w:r>
      <w:r w:rsidR="00601AA2" w:rsidRPr="00C411DC">
        <w:rPr>
          <w:rFonts w:ascii="Book Antiqua" w:hAnsi="Book Antiqua"/>
          <w:i/>
          <w:iCs/>
        </w:rPr>
        <w:t>uno...”</w:t>
      </w:r>
      <w:r w:rsidR="000336B5" w:rsidRPr="000336B5">
        <w:rPr>
          <w:rFonts w:ascii="Book Antiqua" w:hAnsi="Book Antiqua"/>
          <w:bCs/>
        </w:rPr>
        <w:t>.</w:t>
      </w:r>
    </w:p>
    <w:p w14:paraId="71F995A5" w14:textId="6C92B0F7" w:rsidR="00D14057" w:rsidRPr="00693C35" w:rsidRDefault="002A26D5" w:rsidP="002A26D5">
      <w:pPr>
        <w:jc w:val="both"/>
        <w:rPr>
          <w:rFonts w:ascii="Book Antiqua" w:hAnsi="Book Antiqua"/>
        </w:rPr>
      </w:pPr>
      <w:r w:rsidRPr="00467D49">
        <w:rPr>
          <w:rFonts w:ascii="Book Antiqua" w:hAnsi="Book Antiqua"/>
          <w:b/>
          <w:bCs/>
          <w:u w:val="single"/>
        </w:rPr>
        <w:t xml:space="preserve">Oficio </w:t>
      </w:r>
      <w:r w:rsidRPr="00467D49">
        <w:rPr>
          <w:rFonts w:ascii="Book Antiqua" w:hAnsi="Book Antiqua"/>
          <w:b/>
          <w:bCs/>
          <w:u w:val="single"/>
          <w:lang w:val="es-ES_tradnl"/>
        </w:rPr>
        <w:t>2345-</w:t>
      </w:r>
      <w:r w:rsidRPr="005D2DC1">
        <w:rPr>
          <w:rFonts w:ascii="Book Antiqua" w:hAnsi="Book Antiqua"/>
          <w:b/>
          <w:bCs/>
          <w:u w:val="single"/>
          <w:lang w:val="es-ES_tradnl"/>
        </w:rPr>
        <w:t>2020</w:t>
      </w:r>
      <w:r w:rsidRPr="005D2DC1">
        <w:rPr>
          <w:rFonts w:ascii="Book Antiqua" w:hAnsi="Book Antiqua"/>
          <w:b/>
          <w:bCs/>
          <w:u w:val="single"/>
        </w:rPr>
        <w:t>:</w:t>
      </w:r>
      <w:r w:rsidRPr="00D14057">
        <w:rPr>
          <w:rFonts w:ascii="Book Antiqua" w:hAnsi="Book Antiqua"/>
          <w:b/>
          <w:bCs/>
          <w:u w:val="single"/>
        </w:rPr>
        <w:t xml:space="preserve"> </w:t>
      </w:r>
      <w:r w:rsidRPr="004E4DFE">
        <w:rPr>
          <w:rFonts w:ascii="Book Antiqua" w:hAnsi="Book Antiqua"/>
        </w:rPr>
        <w:t xml:space="preserve">Acuerdo tomado por el Consejo Superior del Poder Judicial, en la sesión </w:t>
      </w:r>
      <w:r w:rsidRPr="000336B5">
        <w:rPr>
          <w:rFonts w:ascii="Book Antiqua" w:hAnsi="Book Antiqua"/>
          <w:b/>
          <w:bCs/>
        </w:rPr>
        <w:t>N° 13-2020</w:t>
      </w:r>
      <w:r w:rsidRPr="004E4DFE">
        <w:rPr>
          <w:rFonts w:ascii="Book Antiqua" w:hAnsi="Book Antiqua"/>
        </w:rPr>
        <w:t xml:space="preserve"> celebrada el</w:t>
      </w:r>
      <w:r w:rsidRPr="00693C35">
        <w:rPr>
          <w:rFonts w:ascii="Book Antiqua" w:hAnsi="Book Antiqua"/>
        </w:rPr>
        <w:t xml:space="preserve"> 18 de febrero del 2020</w:t>
      </w:r>
      <w:r w:rsidRPr="004E4DFE">
        <w:rPr>
          <w:rFonts w:ascii="Book Antiqua" w:hAnsi="Book Antiqua"/>
        </w:rPr>
        <w:t>, artículo XIV</w:t>
      </w:r>
      <w:r w:rsidRPr="00E651CB">
        <w:rPr>
          <w:rFonts w:ascii="Book Antiqua" w:hAnsi="Book Antiqua"/>
        </w:rPr>
        <w:t xml:space="preserve">, </w:t>
      </w:r>
      <w:r w:rsidR="00D14057" w:rsidRPr="00E651CB">
        <w:rPr>
          <w:rFonts w:ascii="Book Antiqua" w:hAnsi="Book Antiqua"/>
        </w:rPr>
        <w:t xml:space="preserve">en el que se conoció el informe </w:t>
      </w:r>
      <w:r w:rsidR="00D14057" w:rsidRPr="00693C35">
        <w:rPr>
          <w:rFonts w:ascii="Book Antiqua" w:hAnsi="Book Antiqua"/>
        </w:rPr>
        <w:t>11</w:t>
      </w:r>
      <w:r w:rsidR="00A37069" w:rsidRPr="004E4DFE">
        <w:rPr>
          <w:rFonts w:ascii="Book Antiqua" w:hAnsi="Book Antiqua"/>
        </w:rPr>
        <w:t>41</w:t>
      </w:r>
      <w:r w:rsidR="00D14057" w:rsidRPr="00693C35">
        <w:rPr>
          <w:rFonts w:ascii="Book Antiqua" w:hAnsi="Book Antiqua"/>
        </w:rPr>
        <w:t xml:space="preserve">-CACMFJ-JEF-2020 del 10 de febrero de 2020, remitido por parte de la licenciada Maricruz Chacón Cubillo, Directora del Centro de Apoyo, Coordinación y Mejoramiento de la Función Jurisdiccional, en el que se recomendó; </w:t>
      </w:r>
    </w:p>
    <w:p w14:paraId="26C11D3F" w14:textId="5B1D4AA2" w:rsidR="00D14057" w:rsidRPr="00693C35" w:rsidRDefault="00D14057" w:rsidP="00693C35">
      <w:pPr>
        <w:spacing w:line="240" w:lineRule="auto"/>
        <w:ind w:left="454" w:right="454"/>
        <w:jc w:val="both"/>
        <w:rPr>
          <w:rFonts w:ascii="Book Antiqua" w:hAnsi="Book Antiqua"/>
          <w:i/>
          <w:iCs/>
        </w:rPr>
      </w:pPr>
      <w:r w:rsidRPr="00693C35">
        <w:rPr>
          <w:rFonts w:ascii="Book Antiqua" w:hAnsi="Book Antiqua"/>
          <w:i/>
          <w:iCs/>
        </w:rPr>
        <w:t>“….</w:t>
      </w:r>
      <w:r w:rsidRPr="00693C35">
        <w:rPr>
          <w:rFonts w:ascii="Book Antiqua" w:hAnsi="Book Antiqua"/>
          <w:b/>
          <w:i/>
          <w:iCs/>
          <w:lang w:val="es-ES"/>
        </w:rPr>
        <w:t>Para la Dirección de Planificación:</w:t>
      </w:r>
    </w:p>
    <w:p w14:paraId="63382466" w14:textId="1F9D7846" w:rsidR="00D14057" w:rsidRPr="00693C35" w:rsidRDefault="00D14057" w:rsidP="009C259C">
      <w:pPr>
        <w:numPr>
          <w:ilvl w:val="0"/>
          <w:numId w:val="8"/>
        </w:numPr>
        <w:spacing w:line="240" w:lineRule="auto"/>
        <w:ind w:left="454" w:right="454"/>
        <w:jc w:val="both"/>
        <w:rPr>
          <w:rFonts w:ascii="Book Antiqua" w:hAnsi="Book Antiqua"/>
          <w:i/>
          <w:iCs/>
          <w:lang w:val="es-ES"/>
        </w:rPr>
      </w:pPr>
      <w:r w:rsidRPr="00693C35">
        <w:rPr>
          <w:rFonts w:ascii="Book Antiqua" w:hAnsi="Book Antiqua"/>
          <w:i/>
          <w:iCs/>
          <w:lang w:val="es-ES"/>
        </w:rPr>
        <w:t>Valore la posibilidad de realizar un estudio para lograr el ajuste equitativo de la distribución de las cuotas de trabajo aprobadas en el 2017 para cada materia en los Tribunales mixtos de Apelación Civil, considerando el nuevo comportamiento de los casos entrados y la propuesta de distribución de cuotas elaborada por este Centro….” “</w:t>
      </w:r>
    </w:p>
    <w:p w14:paraId="3136CACB" w14:textId="49AC957C" w:rsidR="005E0DC0" w:rsidRPr="00693C35" w:rsidRDefault="00D14057" w:rsidP="009C259C">
      <w:pPr>
        <w:numPr>
          <w:ilvl w:val="0"/>
          <w:numId w:val="8"/>
        </w:numPr>
        <w:spacing w:line="240" w:lineRule="auto"/>
        <w:ind w:left="454" w:right="454"/>
        <w:jc w:val="both"/>
        <w:rPr>
          <w:rFonts w:ascii="Book Antiqua" w:hAnsi="Book Antiqua"/>
          <w:i/>
          <w:iCs/>
          <w:lang w:val="es-ES"/>
        </w:rPr>
      </w:pPr>
      <w:r w:rsidRPr="00693C35">
        <w:rPr>
          <w:rFonts w:ascii="Book Antiqua" w:hAnsi="Book Antiqua"/>
          <w:i/>
          <w:iCs/>
          <w:lang w:val="es-ES"/>
        </w:rPr>
        <w:t>Además de las recomendaciones emitidas en el oficio 317-CACMFJ-JEF-2019 de este Centro, que contiene el informe de seguimiento del primer trimestre 2019 de la Segunda Instancia Civil y Laboral.</w:t>
      </w:r>
      <w:r w:rsidR="000336B5" w:rsidRPr="000336B5">
        <w:rPr>
          <w:rFonts w:ascii="Book Antiqua" w:hAnsi="Book Antiqua"/>
          <w:lang w:val="es-ES"/>
        </w:rPr>
        <w:t>”.</w:t>
      </w:r>
    </w:p>
    <w:p w14:paraId="2F87B445" w14:textId="791097A8" w:rsidR="00D14057" w:rsidRPr="00693C35" w:rsidRDefault="00467D49" w:rsidP="00693C35">
      <w:pPr>
        <w:ind w:right="474"/>
        <w:jc w:val="both"/>
        <w:rPr>
          <w:rFonts w:ascii="Book Antiqua" w:hAnsi="Book Antiqua"/>
        </w:rPr>
      </w:pPr>
      <w:r>
        <w:rPr>
          <w:rFonts w:ascii="Book Antiqua" w:hAnsi="Book Antiqua"/>
        </w:rPr>
        <w:t>De lo anterior, e</w:t>
      </w:r>
      <w:r w:rsidR="00D14057" w:rsidRPr="00693C35">
        <w:rPr>
          <w:rFonts w:ascii="Book Antiqua" w:hAnsi="Book Antiqua"/>
        </w:rPr>
        <w:t>l</w:t>
      </w:r>
      <w:r>
        <w:rPr>
          <w:rFonts w:ascii="Book Antiqua" w:hAnsi="Book Antiqua"/>
        </w:rPr>
        <w:t xml:space="preserve"> </w:t>
      </w:r>
      <w:r w:rsidR="00D14057" w:rsidRPr="00693C35">
        <w:rPr>
          <w:rFonts w:ascii="Book Antiqua" w:hAnsi="Book Antiqua"/>
        </w:rPr>
        <w:t xml:space="preserve">Consejo Superior acordó; </w:t>
      </w:r>
    </w:p>
    <w:p w14:paraId="78F7F58B" w14:textId="7CEF7F53" w:rsidR="002A26D5" w:rsidRDefault="002A26D5" w:rsidP="005E0DC0">
      <w:pPr>
        <w:ind w:left="567" w:right="474"/>
        <w:jc w:val="both"/>
        <w:rPr>
          <w:rFonts w:ascii="Book Antiqua" w:hAnsi="Book Antiqua"/>
          <w:i/>
          <w:iCs/>
        </w:rPr>
      </w:pPr>
      <w:r w:rsidRPr="00D14057">
        <w:rPr>
          <w:rFonts w:ascii="Book Antiqua" w:hAnsi="Book Antiqua"/>
          <w:b/>
          <w:i/>
          <w:iCs/>
        </w:rPr>
        <w:t>“…</w:t>
      </w:r>
      <w:r w:rsidR="00D14057" w:rsidRPr="00D14057">
        <w:rPr>
          <w:rFonts w:ascii="Book Antiqua" w:hAnsi="Book Antiqua"/>
          <w:i/>
          <w:iCs/>
          <w:lang w:val="es-ES"/>
        </w:rPr>
        <w:t xml:space="preserve"> </w:t>
      </w:r>
      <w:r w:rsidR="00D14057" w:rsidRPr="00D14057">
        <w:rPr>
          <w:rFonts w:ascii="Book Antiqua" w:hAnsi="Book Antiqua"/>
          <w:b/>
          <w:i/>
          <w:iCs/>
          <w:lang w:val="es-ES"/>
        </w:rPr>
        <w:t xml:space="preserve">2.-) </w:t>
      </w:r>
      <w:r w:rsidR="00D14057" w:rsidRPr="00D14057">
        <w:rPr>
          <w:rFonts w:ascii="Book Antiqua" w:hAnsi="Book Antiqua"/>
          <w:i/>
          <w:iCs/>
          <w:lang w:val="es-ES"/>
        </w:rPr>
        <w:t>Acoger las recomendaciones expuestas para los Tribunales citados.</w:t>
      </w:r>
      <w:r w:rsidR="00D14057" w:rsidRPr="00D14057">
        <w:rPr>
          <w:rFonts w:ascii="Book Antiqua" w:hAnsi="Book Antiqua"/>
          <w:bCs/>
          <w:i/>
          <w:iCs/>
          <w:lang w:val="es-ES"/>
        </w:rPr>
        <w:t xml:space="preserve"> </w:t>
      </w:r>
      <w:r w:rsidR="00D14057" w:rsidRPr="00D14057">
        <w:rPr>
          <w:rFonts w:ascii="Book Antiqua" w:hAnsi="Book Antiqua"/>
          <w:b/>
          <w:bCs/>
          <w:i/>
          <w:iCs/>
          <w:lang w:val="es-ES"/>
        </w:rPr>
        <w:t>3.-)</w:t>
      </w:r>
      <w:r w:rsidR="00D14057" w:rsidRPr="00D14057">
        <w:rPr>
          <w:rFonts w:ascii="Book Antiqua" w:hAnsi="Book Antiqua"/>
          <w:bCs/>
          <w:i/>
          <w:iCs/>
          <w:lang w:val="es-ES"/>
        </w:rPr>
        <w:t xml:space="preserve"> Hacer de conocimiento de las Administraciones Regionales del país, de las Comisiones de la Jurisdiccionales Civil y Laboral, así como de la Dirección de Planificación</w:t>
      </w:r>
      <w:r w:rsidR="00D14057" w:rsidRPr="00D14057">
        <w:rPr>
          <w:rFonts w:ascii="Book Antiqua" w:hAnsi="Book Antiqua"/>
          <w:i/>
          <w:iCs/>
        </w:rPr>
        <w:t xml:space="preserve"> </w:t>
      </w:r>
      <w:r w:rsidRPr="00D14057">
        <w:rPr>
          <w:rFonts w:ascii="Book Antiqua" w:hAnsi="Book Antiqua"/>
          <w:i/>
          <w:iCs/>
        </w:rPr>
        <w:t>…”</w:t>
      </w:r>
      <w:r w:rsidR="000336B5">
        <w:rPr>
          <w:rFonts w:ascii="Book Antiqua" w:hAnsi="Book Antiqua"/>
          <w:i/>
          <w:iCs/>
        </w:rPr>
        <w:t>.</w:t>
      </w:r>
    </w:p>
    <w:p w14:paraId="45570E11" w14:textId="20359B44" w:rsidR="00F159CE" w:rsidRDefault="00F159CE" w:rsidP="00467D49">
      <w:pPr>
        <w:ind w:right="474"/>
        <w:jc w:val="both"/>
        <w:rPr>
          <w:rFonts w:ascii="Book Antiqua" w:hAnsi="Book Antiqua"/>
        </w:rPr>
      </w:pPr>
    </w:p>
    <w:p w14:paraId="41DDCDF7" w14:textId="7CC62164" w:rsidR="00C56F52" w:rsidRPr="005C0E00" w:rsidRDefault="00336518" w:rsidP="00336518">
      <w:pPr>
        <w:jc w:val="both"/>
        <w:rPr>
          <w:rFonts w:ascii="Book Antiqua" w:hAnsi="Book Antiqua"/>
        </w:rPr>
      </w:pPr>
      <w:r w:rsidRPr="00C4181D">
        <w:rPr>
          <w:rFonts w:ascii="Book Antiqua" w:hAnsi="Book Antiqua"/>
          <w:b/>
          <w:bCs/>
          <w:u w:val="single"/>
        </w:rPr>
        <w:t xml:space="preserve">Oficio </w:t>
      </w:r>
      <w:r w:rsidR="00016F5E" w:rsidRPr="00383F7C">
        <w:rPr>
          <w:rFonts w:ascii="Book Antiqua" w:hAnsi="Book Antiqua"/>
          <w:b/>
          <w:bCs/>
          <w:u w:val="single"/>
        </w:rPr>
        <w:t>11084-2020</w:t>
      </w:r>
      <w:r w:rsidRPr="00C4181D">
        <w:rPr>
          <w:rFonts w:ascii="Book Antiqua" w:hAnsi="Book Antiqua"/>
          <w:b/>
          <w:bCs/>
          <w:u w:val="single"/>
        </w:rPr>
        <w:t xml:space="preserve">: </w:t>
      </w:r>
      <w:r w:rsidR="00483346" w:rsidRPr="000F3DF2">
        <w:rPr>
          <w:rFonts w:ascii="Book Antiqua" w:hAnsi="Book Antiqua"/>
        </w:rPr>
        <w:t xml:space="preserve">Acuerdo tomado por el Consejo Superior del Poder Judicial, en la sesión </w:t>
      </w:r>
      <w:r w:rsidR="00483346" w:rsidRPr="000336B5">
        <w:rPr>
          <w:rFonts w:ascii="Book Antiqua" w:hAnsi="Book Antiqua"/>
          <w:b/>
          <w:bCs/>
        </w:rPr>
        <w:t>N° 56-2020</w:t>
      </w:r>
      <w:r w:rsidR="00483346" w:rsidRPr="003742C7">
        <w:rPr>
          <w:rFonts w:ascii="Book Antiqua" w:hAnsi="Book Antiqua"/>
        </w:rPr>
        <w:t xml:space="preserve"> </w:t>
      </w:r>
      <w:r w:rsidR="00483346" w:rsidRPr="000F3DF2">
        <w:rPr>
          <w:rFonts w:ascii="Book Antiqua" w:hAnsi="Book Antiqua"/>
        </w:rPr>
        <w:t>celebrada el</w:t>
      </w:r>
      <w:r w:rsidR="00483346" w:rsidRPr="003742C7">
        <w:rPr>
          <w:rFonts w:ascii="Book Antiqua" w:hAnsi="Book Antiqua"/>
        </w:rPr>
        <w:t xml:space="preserve"> 09 de junio del 2020</w:t>
      </w:r>
      <w:r w:rsidR="00483346" w:rsidRPr="000F3DF2">
        <w:rPr>
          <w:rFonts w:ascii="Book Antiqua" w:hAnsi="Book Antiqua"/>
        </w:rPr>
        <w:t xml:space="preserve">, artículo </w:t>
      </w:r>
      <w:r w:rsidR="00483346" w:rsidRPr="003742C7">
        <w:rPr>
          <w:rFonts w:ascii="Book Antiqua" w:hAnsi="Book Antiqua"/>
        </w:rPr>
        <w:t>L</w:t>
      </w:r>
      <w:r w:rsidR="00483346" w:rsidRPr="00C4181D">
        <w:rPr>
          <w:rFonts w:ascii="Book Antiqua" w:hAnsi="Book Antiqua"/>
        </w:rPr>
        <w:t>XI</w:t>
      </w:r>
      <w:r w:rsidR="00483346" w:rsidRPr="003742C7">
        <w:rPr>
          <w:rFonts w:ascii="Book Antiqua" w:hAnsi="Book Antiqua"/>
        </w:rPr>
        <w:t>II</w:t>
      </w:r>
      <w:r w:rsidR="00483346" w:rsidRPr="00C4181D">
        <w:rPr>
          <w:rFonts w:ascii="Book Antiqua" w:hAnsi="Book Antiqua"/>
        </w:rPr>
        <w:t>, en el que se conoció el in</w:t>
      </w:r>
      <w:r w:rsidR="00483346" w:rsidRPr="000F3DF2">
        <w:rPr>
          <w:rFonts w:ascii="Book Antiqua" w:hAnsi="Book Antiqua"/>
        </w:rPr>
        <w:t xml:space="preserve">forme </w:t>
      </w:r>
      <w:r w:rsidR="00483346" w:rsidRPr="003742C7">
        <w:rPr>
          <w:rFonts w:ascii="Book Antiqua" w:hAnsi="Book Antiqua"/>
        </w:rPr>
        <w:t>152-CACMFJ-JEF-2020</w:t>
      </w:r>
      <w:r w:rsidR="00EF7186" w:rsidRPr="00693C35">
        <w:rPr>
          <w:rFonts w:ascii="Book Antiqua" w:hAnsi="Book Antiqua"/>
        </w:rPr>
        <w:t xml:space="preserve"> </w:t>
      </w:r>
      <w:r w:rsidRPr="000F3DF2">
        <w:rPr>
          <w:rFonts w:ascii="Book Antiqua" w:hAnsi="Book Antiqua"/>
        </w:rPr>
        <w:t xml:space="preserve">del </w:t>
      </w:r>
      <w:r w:rsidR="004E479D" w:rsidRPr="00693C35">
        <w:rPr>
          <w:rFonts w:ascii="Book Antiqua" w:hAnsi="Book Antiqua"/>
        </w:rPr>
        <w:t>29 de mayo</w:t>
      </w:r>
      <w:r w:rsidRPr="00C4181D">
        <w:rPr>
          <w:rFonts w:ascii="Book Antiqua" w:hAnsi="Book Antiqua"/>
        </w:rPr>
        <w:t xml:space="preserve"> de 2020, remitido por parte de </w:t>
      </w:r>
      <w:r w:rsidR="00FD7CBF" w:rsidRPr="00693C35">
        <w:rPr>
          <w:rFonts w:ascii="Book Antiqua" w:hAnsi="Book Antiqua"/>
        </w:rPr>
        <w:t xml:space="preserve">licenciado Erick Monge Sandí, director interino del Centro de Apoyo, Coordinación y Mejoramiento de la </w:t>
      </w:r>
      <w:r w:rsidR="00FD7CBF" w:rsidRPr="002B3DAC">
        <w:rPr>
          <w:rFonts w:ascii="Book Antiqua" w:hAnsi="Book Antiqua"/>
        </w:rPr>
        <w:t>Función Jurisdiccional</w:t>
      </w:r>
      <w:r w:rsidRPr="002B3DAC">
        <w:rPr>
          <w:rFonts w:ascii="Book Antiqua" w:hAnsi="Book Antiqua"/>
        </w:rPr>
        <w:t xml:space="preserve">, en el que se recomendó; </w:t>
      </w:r>
      <w:r w:rsidR="00C4181D" w:rsidRPr="005622BE">
        <w:rPr>
          <w:rFonts w:ascii="Book Antiqua" w:hAnsi="Book Antiqua"/>
        </w:rPr>
        <w:t xml:space="preserve"> </w:t>
      </w:r>
    </w:p>
    <w:p w14:paraId="70A3678B" w14:textId="0F910074" w:rsidR="00754290" w:rsidRPr="002B3DAC" w:rsidRDefault="00754290" w:rsidP="00336518">
      <w:pPr>
        <w:jc w:val="both"/>
        <w:rPr>
          <w:rFonts w:ascii="Book Antiqua" w:hAnsi="Book Antiqua"/>
        </w:rPr>
      </w:pPr>
      <w:r w:rsidRPr="002B3DAC">
        <w:rPr>
          <w:rFonts w:ascii="Book Antiqua" w:hAnsi="Book Antiqua"/>
        </w:rPr>
        <w:t>“…</w:t>
      </w:r>
    </w:p>
    <w:p w14:paraId="32FA9535" w14:textId="77777777" w:rsidR="00AA775F" w:rsidRPr="004B6036" w:rsidRDefault="00AA775F" w:rsidP="00683C45">
      <w:pPr>
        <w:shd w:val="clear" w:color="auto" w:fill="FFFFFF"/>
        <w:ind w:left="456" w:right="454" w:hanging="360"/>
        <w:jc w:val="both"/>
        <w:rPr>
          <w:rFonts w:ascii="Book Antiqua" w:hAnsi="Book Antiqua"/>
          <w:i/>
          <w:iCs/>
          <w:lang w:val="es-ES"/>
        </w:rPr>
      </w:pPr>
      <w:r w:rsidRPr="004B6036">
        <w:rPr>
          <w:rFonts w:ascii="Wingdings" w:eastAsia="Wingdings" w:hAnsi="Wingdings" w:cs="Wingdings"/>
          <w:i/>
          <w:lang w:val="es-ES"/>
        </w:rPr>
        <w:sym w:font="Wingdings" w:char="F0FC"/>
      </w:r>
      <w:r w:rsidRPr="004B6036">
        <w:rPr>
          <w:rFonts w:ascii="Book Antiqua" w:hAnsi="Book Antiqua"/>
          <w:i/>
          <w:iCs/>
          <w:lang w:val="es-ES"/>
        </w:rPr>
        <w:t> </w:t>
      </w:r>
      <w:r w:rsidRPr="004B6036">
        <w:rPr>
          <w:rFonts w:ascii="Book Antiqua" w:hAnsi="Book Antiqua"/>
          <w:b/>
          <w:bCs/>
          <w:i/>
          <w:iCs/>
          <w:lang w:val="es-ES"/>
        </w:rPr>
        <w:t>Para la Dirección de Tecnología de la Información y la Dirección de Planificación, Subproceso de Estadística.</w:t>
      </w:r>
    </w:p>
    <w:p w14:paraId="523AEABE" w14:textId="77777777" w:rsidR="00AA775F" w:rsidRPr="004B6036" w:rsidRDefault="00AA775F" w:rsidP="00683C45">
      <w:pPr>
        <w:shd w:val="clear" w:color="auto" w:fill="FFFFFF"/>
        <w:ind w:left="456" w:right="454" w:hanging="360"/>
        <w:jc w:val="both"/>
        <w:rPr>
          <w:rFonts w:ascii="Book Antiqua" w:hAnsi="Book Antiqua"/>
          <w:i/>
          <w:iCs/>
          <w:lang w:val="es-ES"/>
        </w:rPr>
      </w:pPr>
    </w:p>
    <w:p w14:paraId="394C68B8" w14:textId="77777777" w:rsidR="00AA775F" w:rsidRPr="004B6036" w:rsidRDefault="00AA775F" w:rsidP="009C259C">
      <w:pPr>
        <w:pStyle w:val="Prrafodelista"/>
        <w:numPr>
          <w:ilvl w:val="0"/>
          <w:numId w:val="23"/>
        </w:numPr>
        <w:shd w:val="clear" w:color="auto" w:fill="FFFFFF"/>
        <w:spacing w:line="240" w:lineRule="auto"/>
        <w:ind w:left="456" w:right="454"/>
        <w:contextualSpacing w:val="0"/>
        <w:jc w:val="both"/>
        <w:rPr>
          <w:rFonts w:ascii="Book Antiqua" w:hAnsi="Book Antiqua"/>
          <w:i/>
          <w:iCs/>
          <w:lang w:val="es-ES"/>
        </w:rPr>
      </w:pPr>
      <w:r w:rsidRPr="004B6036">
        <w:rPr>
          <w:rFonts w:ascii="Book Antiqua" w:hAnsi="Book Antiqua"/>
          <w:i/>
          <w:iCs/>
          <w:lang w:val="es-ES"/>
        </w:rPr>
        <w:lastRenderedPageBreak/>
        <w:t xml:space="preserve">La Dirección de Tecnología de la Información revise en coordinación con el Subproceso de Estadística de la Dirección de Planificación las nomenclaturas de los motivos de término </w:t>
      </w:r>
      <w:r w:rsidRPr="00E108E5">
        <w:rPr>
          <w:rFonts w:ascii="Book Antiqua" w:hAnsi="Book Antiqua"/>
          <w:i/>
          <w:iCs/>
          <w:lang w:val="es-ES"/>
        </w:rPr>
        <w:t>para el cierre estadístico de los expedientes de la Jurisdicción Laboral y de detectarse</w:t>
      </w:r>
      <w:r w:rsidRPr="004B6036">
        <w:rPr>
          <w:rFonts w:ascii="Book Antiqua" w:hAnsi="Book Antiqua"/>
          <w:i/>
          <w:iCs/>
          <w:lang w:val="es-ES"/>
        </w:rPr>
        <w:t xml:space="preserve"> en los sistemas informáticos distintas denominaciones de motivos de término con mismos significados jurídicos proceder a la desactivación, con el fin de evitar confusiones y por consiguiente inconsistencias estadísticas.</w:t>
      </w:r>
    </w:p>
    <w:p w14:paraId="522B95DF" w14:textId="77777777" w:rsidR="00167281" w:rsidRDefault="00167281" w:rsidP="00336518">
      <w:pPr>
        <w:jc w:val="both"/>
        <w:rPr>
          <w:rFonts w:ascii="Book Antiqua" w:hAnsi="Book Antiqua"/>
        </w:rPr>
      </w:pPr>
    </w:p>
    <w:p w14:paraId="0C26C25F" w14:textId="0D966F92" w:rsidR="00C56F52" w:rsidRPr="00693C35" w:rsidRDefault="00C56F52" w:rsidP="009C259C">
      <w:pPr>
        <w:numPr>
          <w:ilvl w:val="0"/>
          <w:numId w:val="9"/>
        </w:numPr>
        <w:spacing w:line="240" w:lineRule="auto"/>
        <w:ind w:left="454" w:right="454"/>
        <w:jc w:val="both"/>
        <w:rPr>
          <w:rFonts w:ascii="Book Antiqua" w:hAnsi="Book Antiqua"/>
          <w:i/>
          <w:iCs/>
          <w:lang w:val="es-ES"/>
        </w:rPr>
      </w:pPr>
      <w:r w:rsidRPr="00693C35">
        <w:rPr>
          <w:rFonts w:ascii="Book Antiqua" w:hAnsi="Book Antiqua"/>
          <w:i/>
          <w:iCs/>
          <w:lang w:val="es-ES"/>
        </w:rPr>
        <w:t xml:space="preserve">Para la Dirección de Planificación: </w:t>
      </w:r>
    </w:p>
    <w:p w14:paraId="45FB7141" w14:textId="5FDC01F2" w:rsidR="00C56F52" w:rsidRPr="00C411DC" w:rsidRDefault="00C56F52" w:rsidP="009C259C">
      <w:pPr>
        <w:numPr>
          <w:ilvl w:val="0"/>
          <w:numId w:val="10"/>
        </w:numPr>
        <w:spacing w:line="240" w:lineRule="auto"/>
        <w:ind w:left="454" w:right="454"/>
        <w:jc w:val="both"/>
        <w:rPr>
          <w:rFonts w:ascii="Book Antiqua" w:hAnsi="Book Antiqua"/>
          <w:i/>
          <w:iCs/>
          <w:lang w:val="es-ES"/>
        </w:rPr>
      </w:pPr>
      <w:r w:rsidRPr="00D611CE">
        <w:rPr>
          <w:rFonts w:ascii="Book Antiqua" w:hAnsi="Book Antiqua"/>
          <w:i/>
          <w:iCs/>
          <w:lang w:val="es-ES"/>
        </w:rPr>
        <w:t>Co</w:t>
      </w:r>
      <w:r w:rsidRPr="00693C35">
        <w:rPr>
          <w:rFonts w:ascii="Book Antiqua" w:hAnsi="Book Antiqua"/>
          <w:i/>
          <w:iCs/>
          <w:lang w:val="es-ES"/>
        </w:rPr>
        <w:t xml:space="preserve">nsidere la variación en la propuesta de cuotas de trabajo realizada en el informe 1411-CACMFJ-AGA-2019 de este Centro, en relación con el Tribunal de Apelación Civil y de </w:t>
      </w:r>
      <w:r w:rsidRPr="00C411DC">
        <w:rPr>
          <w:rFonts w:ascii="Book Antiqua" w:hAnsi="Book Antiqua"/>
          <w:i/>
          <w:iCs/>
          <w:lang w:val="es-ES"/>
        </w:rPr>
        <w:t>Trabajo de Alajuela, en el momento de realizar el nuevo estudio de abordaje de los Tribunales de Apelación objeto del presente informe</w:t>
      </w:r>
      <w:r w:rsidR="00754290" w:rsidRPr="00C411DC">
        <w:rPr>
          <w:rFonts w:ascii="Book Antiqua" w:hAnsi="Book Antiqua"/>
          <w:i/>
          <w:iCs/>
          <w:lang w:val="es-ES"/>
        </w:rPr>
        <w:t>…”</w:t>
      </w:r>
      <w:r w:rsidR="000336B5">
        <w:rPr>
          <w:rFonts w:ascii="Book Antiqua" w:hAnsi="Book Antiqua"/>
          <w:i/>
          <w:iCs/>
          <w:lang w:val="es-ES"/>
        </w:rPr>
        <w:t>.</w:t>
      </w:r>
    </w:p>
    <w:p w14:paraId="4DAFD303" w14:textId="77777777" w:rsidR="0083743C" w:rsidRDefault="0083743C" w:rsidP="00693C35">
      <w:pPr>
        <w:ind w:right="474"/>
        <w:jc w:val="both"/>
        <w:rPr>
          <w:rFonts w:ascii="Book Antiqua" w:hAnsi="Book Antiqua"/>
        </w:rPr>
      </w:pPr>
    </w:p>
    <w:p w14:paraId="2052785D" w14:textId="6E8A60C8" w:rsidR="000D596E" w:rsidRPr="00693C35" w:rsidRDefault="000D596E" w:rsidP="00693C35">
      <w:pPr>
        <w:ind w:right="474"/>
        <w:jc w:val="both"/>
        <w:rPr>
          <w:rFonts w:ascii="Book Antiqua" w:hAnsi="Book Antiqua"/>
        </w:rPr>
      </w:pPr>
      <w:r w:rsidRPr="00693C35">
        <w:rPr>
          <w:rFonts w:ascii="Book Antiqua" w:hAnsi="Book Antiqua"/>
        </w:rPr>
        <w:t xml:space="preserve">De lo anterior, el Consejo Superior acordó; </w:t>
      </w:r>
    </w:p>
    <w:p w14:paraId="4FDFF5F1" w14:textId="77777777" w:rsidR="00C56F52" w:rsidRPr="002148B1" w:rsidRDefault="00C56F52" w:rsidP="00693C35">
      <w:pPr>
        <w:ind w:left="567" w:right="454"/>
        <w:jc w:val="both"/>
        <w:rPr>
          <w:rFonts w:ascii="Book Antiqua" w:hAnsi="Book Antiqua"/>
        </w:rPr>
      </w:pPr>
    </w:p>
    <w:p w14:paraId="44487C20" w14:textId="2F145865" w:rsidR="00477A4F" w:rsidRPr="00693C35" w:rsidRDefault="00EA388A" w:rsidP="00693C35">
      <w:pPr>
        <w:ind w:left="567" w:right="454"/>
        <w:jc w:val="both"/>
        <w:rPr>
          <w:rFonts w:ascii="Book Antiqua" w:hAnsi="Book Antiqua"/>
          <w:bCs/>
          <w:i/>
          <w:iCs/>
          <w:lang w:val="es-ES"/>
        </w:rPr>
      </w:pPr>
      <w:r>
        <w:rPr>
          <w:rFonts w:ascii="Book Antiqua" w:hAnsi="Book Antiqua"/>
          <w:bCs/>
          <w:i/>
          <w:iCs/>
          <w:lang w:val="es-ES"/>
        </w:rPr>
        <w:t>“</w:t>
      </w:r>
      <w:r w:rsidR="000D596E" w:rsidRPr="00693C35">
        <w:rPr>
          <w:rFonts w:ascii="Book Antiqua" w:hAnsi="Book Antiqua"/>
          <w:bCs/>
          <w:i/>
          <w:iCs/>
          <w:lang w:val="es-ES"/>
        </w:rPr>
        <w:t>1.) Tener por rendido el informe suscrito por el licenciado Erick Monge Sandí, director interino del Centro de Apoyo, Coordinación y Mejoramiento de la Función Jurisdiccional, en oficio 152-CACMFJ-JEF-2020 del 29 de mayo de 2020</w:t>
      </w:r>
      <w:r w:rsidR="00081A2C">
        <w:rPr>
          <w:rFonts w:ascii="Book Antiqua" w:hAnsi="Book Antiqua"/>
          <w:bCs/>
          <w:i/>
          <w:iCs/>
          <w:lang w:val="es-ES"/>
        </w:rPr>
        <w:t>….</w:t>
      </w:r>
      <w:r w:rsidR="000D596E" w:rsidRPr="00693C35">
        <w:rPr>
          <w:rFonts w:ascii="Book Antiqua" w:hAnsi="Book Antiqua"/>
          <w:bCs/>
          <w:i/>
          <w:iCs/>
          <w:lang w:val="es-ES"/>
        </w:rPr>
        <w:t xml:space="preserve"> 4.) Hacer de conocimiento de los Tribunales de Apelación mixtos y especializados en materia Civil y materia laboral, Juzgados laborales, Tribunales de Apelación, Dirección de Tecnología de la Información y la Dirección de Planificación, para lo que a cada uno corresponda.</w:t>
      </w:r>
      <w:r w:rsidR="000336B5" w:rsidRPr="000336B5">
        <w:rPr>
          <w:rFonts w:ascii="Book Antiqua" w:hAnsi="Book Antiqua"/>
          <w:bCs/>
          <w:lang w:val="es-ES"/>
        </w:rPr>
        <w:t>”.</w:t>
      </w:r>
    </w:p>
    <w:p w14:paraId="3DC01333" w14:textId="77777777" w:rsidR="006E6CBA" w:rsidRDefault="006E6CBA" w:rsidP="009B696B">
      <w:pPr>
        <w:widowControl w:val="0"/>
        <w:rPr>
          <w:rFonts w:ascii="Book Antiqua" w:hAnsi="Book Antiqua" w:cs="Book Antiqua"/>
          <w:snapToGrid w:val="0"/>
          <w:sz w:val="24"/>
          <w:szCs w:val="24"/>
        </w:rPr>
      </w:pPr>
    </w:p>
    <w:p w14:paraId="00C90FBE" w14:textId="61240426" w:rsidR="009B696B" w:rsidRPr="00820670" w:rsidRDefault="009B696B" w:rsidP="009B696B">
      <w:pPr>
        <w:widowControl w:val="0"/>
        <w:rPr>
          <w:rFonts w:ascii="Book Antiqua" w:hAnsi="Book Antiqua" w:cs="Book Antiqua"/>
          <w:snapToGrid w:val="0"/>
          <w:sz w:val="24"/>
          <w:szCs w:val="24"/>
        </w:rPr>
      </w:pPr>
      <w:r w:rsidRPr="00820670">
        <w:rPr>
          <w:rFonts w:ascii="Book Antiqua" w:hAnsi="Book Antiqua" w:cs="Book Antiqua"/>
          <w:snapToGrid w:val="0"/>
          <w:sz w:val="24"/>
          <w:szCs w:val="24"/>
        </w:rPr>
        <w:t>Atentamente,</w:t>
      </w:r>
    </w:p>
    <w:p w14:paraId="74BAA485" w14:textId="374673B0" w:rsidR="00F64D98" w:rsidRDefault="00F64D98" w:rsidP="00C411DC">
      <w:pPr>
        <w:widowControl w:val="0"/>
        <w:spacing w:after="0"/>
        <w:rPr>
          <w:rFonts w:ascii="Book Antiqua" w:hAnsi="Book Antiqua" w:cs="Book Antiqua"/>
          <w:b/>
          <w:bCs/>
          <w:snapToGrid w:val="0"/>
          <w:sz w:val="24"/>
          <w:szCs w:val="24"/>
        </w:rPr>
      </w:pPr>
    </w:p>
    <w:p w14:paraId="6491ACA9" w14:textId="77777777" w:rsidR="0083743C" w:rsidRPr="0083743C" w:rsidRDefault="009B696B" w:rsidP="00BD1432">
      <w:pPr>
        <w:spacing w:after="0"/>
        <w:rPr>
          <w:rFonts w:ascii="Book Antiqua" w:hAnsi="Book Antiqua" w:cs="Book Antiqua"/>
          <w:bCs/>
          <w:snapToGrid w:val="0"/>
          <w:sz w:val="24"/>
          <w:szCs w:val="24"/>
        </w:rPr>
      </w:pPr>
      <w:r w:rsidRPr="0083743C">
        <w:rPr>
          <w:rFonts w:ascii="Book Antiqua" w:hAnsi="Book Antiqua" w:cs="Book Antiqua"/>
          <w:bCs/>
          <w:snapToGrid w:val="0"/>
          <w:sz w:val="24"/>
          <w:szCs w:val="24"/>
        </w:rPr>
        <w:t xml:space="preserve">Ing. </w:t>
      </w:r>
      <w:r w:rsidR="00A06542" w:rsidRPr="0083743C">
        <w:rPr>
          <w:rFonts w:ascii="Book Antiqua" w:hAnsi="Book Antiqua" w:cs="Book Antiqua"/>
          <w:bCs/>
          <w:snapToGrid w:val="0"/>
          <w:sz w:val="24"/>
          <w:szCs w:val="24"/>
        </w:rPr>
        <w:t>Jorge Fernando Rodríguez Salazar</w:t>
      </w:r>
      <w:r w:rsidR="0083743C" w:rsidRPr="0083743C">
        <w:rPr>
          <w:rFonts w:ascii="Book Antiqua" w:hAnsi="Book Antiqua" w:cs="Book Antiqua"/>
          <w:bCs/>
          <w:snapToGrid w:val="0"/>
          <w:sz w:val="24"/>
          <w:szCs w:val="24"/>
        </w:rPr>
        <w:t xml:space="preserve">, </w:t>
      </w:r>
      <w:r w:rsidRPr="0083743C">
        <w:rPr>
          <w:rFonts w:ascii="Book Antiqua" w:hAnsi="Book Antiqua" w:cs="Book Antiqua"/>
          <w:bCs/>
          <w:snapToGrid w:val="0"/>
          <w:sz w:val="24"/>
          <w:szCs w:val="24"/>
        </w:rPr>
        <w:t>Jefe a.i.</w:t>
      </w:r>
    </w:p>
    <w:p w14:paraId="4CCECF2E" w14:textId="5E84D40E" w:rsidR="009B696B" w:rsidRPr="0083743C" w:rsidRDefault="009B696B" w:rsidP="00BD1432">
      <w:pPr>
        <w:spacing w:after="0"/>
        <w:rPr>
          <w:rFonts w:ascii="Book Antiqua" w:hAnsi="Book Antiqua" w:cs="Book Antiqua"/>
          <w:bCs/>
          <w:snapToGrid w:val="0"/>
          <w:sz w:val="24"/>
          <w:szCs w:val="24"/>
        </w:rPr>
      </w:pPr>
      <w:r w:rsidRPr="0083743C">
        <w:rPr>
          <w:rFonts w:ascii="Book Antiqua" w:hAnsi="Book Antiqua" w:cs="Book Antiqua"/>
          <w:bCs/>
          <w:snapToGrid w:val="0"/>
          <w:sz w:val="24"/>
          <w:szCs w:val="24"/>
        </w:rPr>
        <w:t>Subproceso de Modernización Institucional</w:t>
      </w:r>
    </w:p>
    <w:p w14:paraId="31D2AB5C" w14:textId="0E2192C6" w:rsidR="00081F00" w:rsidRPr="0083743C" w:rsidRDefault="00081F00" w:rsidP="00B95F69">
      <w:pPr>
        <w:autoSpaceDE w:val="0"/>
        <w:autoSpaceDN w:val="0"/>
        <w:adjustRightInd w:val="0"/>
        <w:spacing w:after="0" w:line="240" w:lineRule="auto"/>
        <w:rPr>
          <w:rFonts w:ascii="Book Antiqua" w:hAnsi="Book Antiqua"/>
          <w:bCs/>
        </w:rPr>
      </w:pPr>
    </w:p>
    <w:bookmarkEnd w:id="2"/>
    <w:p w14:paraId="044FD087" w14:textId="74360BE3" w:rsidR="00F64D98" w:rsidRDefault="00F64D98" w:rsidP="0083743C">
      <w:pPr>
        <w:spacing w:after="0"/>
        <w:rPr>
          <w:rFonts w:ascii="Arial" w:hAnsi="Arial" w:cs="Arial"/>
          <w:sz w:val="23"/>
          <w:szCs w:val="23"/>
        </w:rPr>
      </w:pPr>
      <w:r>
        <w:rPr>
          <w:rFonts w:ascii="Arial" w:hAnsi="Arial" w:cs="Arial"/>
          <w:sz w:val="23"/>
          <w:szCs w:val="23"/>
        </w:rPr>
        <w:br w:type="page"/>
      </w:r>
    </w:p>
    <w:p w14:paraId="6CFBD780" w14:textId="4C2414F6" w:rsidR="009B696B" w:rsidRDefault="00496E02" w:rsidP="00B95F69">
      <w:pPr>
        <w:autoSpaceDE w:val="0"/>
        <w:autoSpaceDN w:val="0"/>
        <w:adjustRightInd w:val="0"/>
        <w:spacing w:after="0" w:line="240" w:lineRule="auto"/>
        <w:rPr>
          <w:rFonts w:ascii="Arial" w:hAnsi="Arial" w:cs="Arial"/>
          <w:sz w:val="23"/>
          <w:szCs w:val="23"/>
        </w:rPr>
      </w:pPr>
      <w:r>
        <w:rPr>
          <w:noProof/>
        </w:rPr>
        <w:lastRenderedPageBreak/>
        <w:drawing>
          <wp:anchor distT="0" distB="0" distL="114300" distR="114300" simplePos="0" relativeHeight="251658240" behindDoc="0" locked="0" layoutInCell="1" allowOverlap="1" wp14:anchorId="0E235965" wp14:editId="0BD0683E">
            <wp:simplePos x="0" y="0"/>
            <wp:positionH relativeFrom="page">
              <wp:align>right</wp:align>
            </wp:positionH>
            <wp:positionV relativeFrom="paragraph">
              <wp:posOffset>-1653540</wp:posOffset>
            </wp:positionV>
            <wp:extent cx="7840980" cy="1766570"/>
            <wp:effectExtent l="0" t="0" r="7620" b="5080"/>
            <wp:wrapNone/>
            <wp:docPr id="13749725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pic:nvPicPr>
                  <pic:blipFill>
                    <a:blip r:embed="rId11">
                      <a:extLst>
                        <a:ext uri="{28A0092B-C50C-407E-A947-70E740481C1C}">
                          <a14:useLocalDpi xmlns:a14="http://schemas.microsoft.com/office/drawing/2010/main" val="0"/>
                        </a:ext>
                      </a:extLst>
                    </a:blip>
                    <a:stretch>
                      <a:fillRect/>
                    </a:stretch>
                  </pic:blipFill>
                  <pic:spPr>
                    <a:xfrm>
                      <a:off x="0" y="0"/>
                      <a:ext cx="7840980" cy="1766570"/>
                    </a:xfrm>
                    <a:prstGeom prst="rect">
                      <a:avLst/>
                    </a:prstGeom>
                  </pic:spPr>
                </pic:pic>
              </a:graphicData>
            </a:graphic>
            <wp14:sizeRelH relativeFrom="page">
              <wp14:pctWidth>0</wp14:pctWidth>
            </wp14:sizeRelH>
            <wp14:sizeRelV relativeFrom="page">
              <wp14:pctHeight>0</wp14:pctHeight>
            </wp14:sizeRelV>
          </wp:anchor>
        </w:drawing>
      </w:r>
    </w:p>
    <w:p w14:paraId="59F0171D" w14:textId="4AB30969" w:rsidR="009B696B" w:rsidRDefault="009B696B" w:rsidP="00B95F69">
      <w:pPr>
        <w:autoSpaceDE w:val="0"/>
        <w:autoSpaceDN w:val="0"/>
        <w:adjustRightInd w:val="0"/>
        <w:spacing w:after="0" w:line="240" w:lineRule="auto"/>
        <w:rPr>
          <w:rFonts w:ascii="Arial" w:hAnsi="Arial" w:cs="Arial"/>
          <w:sz w:val="23"/>
          <w:szCs w:val="23"/>
        </w:rPr>
      </w:pPr>
    </w:p>
    <w:p w14:paraId="627B4779" w14:textId="302A20C2" w:rsidR="009B696B" w:rsidRDefault="009B696B" w:rsidP="00B95F69">
      <w:pPr>
        <w:autoSpaceDE w:val="0"/>
        <w:autoSpaceDN w:val="0"/>
        <w:adjustRightInd w:val="0"/>
        <w:spacing w:after="0" w:line="240" w:lineRule="auto"/>
        <w:rPr>
          <w:rFonts w:ascii="Arial" w:hAnsi="Arial" w:cs="Arial"/>
          <w:sz w:val="23"/>
          <w:szCs w:val="23"/>
        </w:rPr>
      </w:pPr>
    </w:p>
    <w:p w14:paraId="23AE375A" w14:textId="16D8EEA9" w:rsidR="00F716D2" w:rsidRDefault="00496E02" w:rsidP="00B95F69">
      <w:pPr>
        <w:autoSpaceDE w:val="0"/>
        <w:autoSpaceDN w:val="0"/>
        <w:adjustRightInd w:val="0"/>
        <w:spacing w:after="0" w:line="240" w:lineRule="auto"/>
        <w:rPr>
          <w:rFonts w:ascii="Arial" w:hAnsi="Arial" w:cs="Arial"/>
          <w:sz w:val="23"/>
          <w:szCs w:val="23"/>
        </w:rPr>
      </w:pPr>
      <w:r>
        <w:rPr>
          <w:noProof/>
        </w:rPr>
        <w:drawing>
          <wp:anchor distT="0" distB="0" distL="114300" distR="114300" simplePos="0" relativeHeight="251658243" behindDoc="0" locked="0" layoutInCell="1" allowOverlap="1" wp14:anchorId="61CC549B" wp14:editId="2D53F645">
            <wp:simplePos x="0" y="0"/>
            <wp:positionH relativeFrom="column">
              <wp:posOffset>4454351</wp:posOffset>
            </wp:positionH>
            <wp:positionV relativeFrom="paragraph">
              <wp:posOffset>164350</wp:posOffset>
            </wp:positionV>
            <wp:extent cx="1847850" cy="809625"/>
            <wp:effectExtent l="0" t="0" r="0" b="0"/>
            <wp:wrapNone/>
            <wp:docPr id="977526850" name="Imagen 7"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12">
                      <a:extLst>
                        <a:ext uri="{28A0092B-C50C-407E-A947-70E740481C1C}">
                          <a14:useLocalDpi xmlns:a14="http://schemas.microsoft.com/office/drawing/2010/main" val="0"/>
                        </a:ext>
                      </a:extLst>
                    </a:blip>
                    <a:stretch>
                      <a:fillRect/>
                    </a:stretch>
                  </pic:blipFill>
                  <pic:spPr>
                    <a:xfrm>
                      <a:off x="0" y="0"/>
                      <a:ext cx="1847850" cy="809625"/>
                    </a:xfrm>
                    <a:prstGeom prst="rect">
                      <a:avLst/>
                    </a:prstGeom>
                  </pic:spPr>
                </pic:pic>
              </a:graphicData>
            </a:graphic>
            <wp14:sizeRelH relativeFrom="page">
              <wp14:pctWidth>0</wp14:pctWidth>
            </wp14:sizeRelH>
            <wp14:sizeRelV relativeFrom="page">
              <wp14:pctHeight>0</wp14:pctHeight>
            </wp14:sizeRelV>
          </wp:anchor>
        </w:drawing>
      </w:r>
    </w:p>
    <w:p w14:paraId="5E31EE4A" w14:textId="74F2730C" w:rsidR="009B696B" w:rsidRDefault="009B696B" w:rsidP="00B95F69">
      <w:pPr>
        <w:autoSpaceDE w:val="0"/>
        <w:autoSpaceDN w:val="0"/>
        <w:adjustRightInd w:val="0"/>
        <w:spacing w:after="0" w:line="240" w:lineRule="auto"/>
        <w:rPr>
          <w:rFonts w:ascii="Arial" w:hAnsi="Arial" w:cs="Arial"/>
          <w:sz w:val="23"/>
          <w:szCs w:val="23"/>
        </w:rPr>
      </w:pPr>
    </w:p>
    <w:p w14:paraId="64E5F30F" w14:textId="47C976A2" w:rsidR="009B696B" w:rsidRDefault="2B674DB3" w:rsidP="00B95F69">
      <w:pPr>
        <w:autoSpaceDE w:val="0"/>
        <w:autoSpaceDN w:val="0"/>
        <w:adjustRightInd w:val="0"/>
        <w:spacing w:after="0" w:line="240" w:lineRule="auto"/>
        <w:rPr>
          <w:rFonts w:ascii="Arial" w:hAnsi="Arial" w:cs="Arial"/>
          <w:sz w:val="23"/>
          <w:szCs w:val="23"/>
        </w:rPr>
      </w:pPr>
      <w:r>
        <w:rPr>
          <w:noProof/>
        </w:rPr>
        <w:drawing>
          <wp:anchor distT="0" distB="0" distL="114300" distR="114300" simplePos="0" relativeHeight="251658242" behindDoc="0" locked="0" layoutInCell="1" allowOverlap="1" wp14:anchorId="7EE8380E" wp14:editId="7DBA7625">
            <wp:simplePos x="0" y="0"/>
            <wp:positionH relativeFrom="column">
              <wp:align>left</wp:align>
            </wp:positionH>
            <wp:positionV relativeFrom="paragraph">
              <wp:posOffset>0</wp:posOffset>
            </wp:positionV>
            <wp:extent cx="1659890" cy="875665"/>
            <wp:effectExtent l="0" t="0" r="0" b="0"/>
            <wp:wrapNone/>
            <wp:docPr id="1149076694" name="Imagen 8"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13">
                      <a:extLst>
                        <a:ext uri="{28A0092B-C50C-407E-A947-70E740481C1C}">
                          <a14:useLocalDpi xmlns:a14="http://schemas.microsoft.com/office/drawing/2010/main" val="0"/>
                        </a:ext>
                      </a:extLst>
                    </a:blip>
                    <a:stretch>
                      <a:fillRect/>
                    </a:stretch>
                  </pic:blipFill>
                  <pic:spPr>
                    <a:xfrm>
                      <a:off x="0" y="0"/>
                      <a:ext cx="1659890" cy="875665"/>
                    </a:xfrm>
                    <a:prstGeom prst="rect">
                      <a:avLst/>
                    </a:prstGeom>
                  </pic:spPr>
                </pic:pic>
              </a:graphicData>
            </a:graphic>
            <wp14:sizeRelH relativeFrom="page">
              <wp14:pctWidth>0</wp14:pctWidth>
            </wp14:sizeRelH>
            <wp14:sizeRelV relativeFrom="page">
              <wp14:pctHeight>0</wp14:pctHeight>
            </wp14:sizeRelV>
          </wp:anchor>
        </w:drawing>
      </w:r>
    </w:p>
    <w:p w14:paraId="781FDE56" w14:textId="2FB92EEC" w:rsidR="009B696B" w:rsidRPr="00BD1432" w:rsidRDefault="009B696B" w:rsidP="00B95F69">
      <w:pPr>
        <w:autoSpaceDE w:val="0"/>
        <w:autoSpaceDN w:val="0"/>
        <w:adjustRightInd w:val="0"/>
        <w:spacing w:after="0" w:line="240" w:lineRule="auto"/>
        <w:rPr>
          <w:rFonts w:ascii="Book Antiqua" w:hAnsi="Book Antiqua" w:cs="Arial"/>
          <w:sz w:val="23"/>
          <w:szCs w:val="23"/>
        </w:rPr>
      </w:pPr>
    </w:p>
    <w:p w14:paraId="4245AD10" w14:textId="05A9DF1A" w:rsidR="009B696B" w:rsidRPr="00BD1432" w:rsidRDefault="009B696B" w:rsidP="00B95F69">
      <w:pPr>
        <w:autoSpaceDE w:val="0"/>
        <w:autoSpaceDN w:val="0"/>
        <w:adjustRightInd w:val="0"/>
        <w:spacing w:after="0" w:line="240" w:lineRule="auto"/>
        <w:rPr>
          <w:rFonts w:ascii="Book Antiqua" w:hAnsi="Book Antiqua" w:cs="Arial"/>
          <w:sz w:val="23"/>
          <w:szCs w:val="23"/>
        </w:rPr>
      </w:pPr>
    </w:p>
    <w:p w14:paraId="5F9746A8" w14:textId="1F627A9F" w:rsidR="00182ED4" w:rsidRDefault="00182ED4" w:rsidP="00182ED4">
      <w:pPr>
        <w:spacing w:line="276" w:lineRule="auto"/>
        <w:jc w:val="center"/>
        <w:rPr>
          <w:rFonts w:ascii="Book Antiqua" w:hAnsi="Book Antiqua"/>
          <w:sz w:val="36"/>
          <w:szCs w:val="36"/>
        </w:rPr>
      </w:pPr>
    </w:p>
    <w:p w14:paraId="38FB2C46" w14:textId="77777777" w:rsidR="00182ED4" w:rsidRDefault="00182ED4" w:rsidP="00182ED4">
      <w:pPr>
        <w:spacing w:line="276" w:lineRule="auto"/>
        <w:jc w:val="center"/>
        <w:rPr>
          <w:rFonts w:ascii="Book Antiqua" w:hAnsi="Book Antiqua"/>
          <w:sz w:val="36"/>
          <w:szCs w:val="36"/>
        </w:rPr>
      </w:pPr>
    </w:p>
    <w:p w14:paraId="6A94CB15" w14:textId="77777777" w:rsidR="00182ED4" w:rsidRDefault="00182ED4" w:rsidP="00182ED4">
      <w:pPr>
        <w:spacing w:line="276" w:lineRule="auto"/>
        <w:jc w:val="center"/>
        <w:rPr>
          <w:rFonts w:ascii="Book Antiqua" w:hAnsi="Book Antiqua"/>
          <w:sz w:val="36"/>
          <w:szCs w:val="36"/>
        </w:rPr>
      </w:pPr>
    </w:p>
    <w:p w14:paraId="1E097D18" w14:textId="16DE55F8" w:rsidR="00182ED4" w:rsidRPr="00BD1432" w:rsidRDefault="00182ED4" w:rsidP="00182ED4">
      <w:pPr>
        <w:spacing w:line="276" w:lineRule="auto"/>
        <w:jc w:val="center"/>
        <w:rPr>
          <w:rFonts w:ascii="Book Antiqua" w:hAnsi="Book Antiqua"/>
          <w:b/>
          <w:bCs/>
          <w:i/>
          <w:sz w:val="40"/>
          <w:szCs w:val="40"/>
        </w:rPr>
      </w:pPr>
      <w:r w:rsidRPr="00BD1432">
        <w:rPr>
          <w:rFonts w:ascii="Book Antiqua" w:hAnsi="Book Antiqua"/>
          <w:b/>
          <w:bCs/>
          <w:sz w:val="40"/>
          <w:szCs w:val="40"/>
        </w:rPr>
        <w:t xml:space="preserve">Subproceso de Modernización Institucional </w:t>
      </w:r>
    </w:p>
    <w:p w14:paraId="6D10C60D" w14:textId="77777777" w:rsidR="00182ED4" w:rsidRPr="00BD1432" w:rsidRDefault="00182ED4" w:rsidP="00182ED4">
      <w:pPr>
        <w:spacing w:line="276" w:lineRule="auto"/>
        <w:jc w:val="center"/>
        <w:rPr>
          <w:rFonts w:ascii="Book Antiqua" w:hAnsi="Book Antiqua"/>
          <w:b/>
          <w:bCs/>
          <w:i/>
          <w:sz w:val="40"/>
          <w:szCs w:val="40"/>
        </w:rPr>
      </w:pPr>
      <w:r w:rsidRPr="00BD1432">
        <w:rPr>
          <w:rFonts w:ascii="Book Antiqua" w:hAnsi="Book Antiqua"/>
          <w:b/>
          <w:bCs/>
          <w:sz w:val="40"/>
          <w:szCs w:val="40"/>
        </w:rPr>
        <w:t xml:space="preserve">Proceso de Ejecuciones de la Operaciones </w:t>
      </w:r>
    </w:p>
    <w:p w14:paraId="378AD3BD" w14:textId="77777777" w:rsidR="00182ED4" w:rsidRPr="00BD1432" w:rsidRDefault="00182ED4" w:rsidP="00182ED4">
      <w:pPr>
        <w:spacing w:line="276" w:lineRule="auto"/>
        <w:jc w:val="center"/>
        <w:rPr>
          <w:rFonts w:ascii="Book Antiqua" w:hAnsi="Book Antiqua"/>
          <w:b/>
          <w:bCs/>
          <w:i/>
          <w:sz w:val="40"/>
          <w:szCs w:val="40"/>
        </w:rPr>
      </w:pPr>
      <w:r w:rsidRPr="00BD1432">
        <w:rPr>
          <w:rFonts w:ascii="Book Antiqua" w:hAnsi="Book Antiqua"/>
          <w:b/>
          <w:bCs/>
          <w:sz w:val="40"/>
          <w:szCs w:val="40"/>
        </w:rPr>
        <w:t>Dirección de Planificación</w:t>
      </w:r>
    </w:p>
    <w:p w14:paraId="63E9CC9B" w14:textId="77777777" w:rsidR="00182ED4" w:rsidRPr="00BD1432" w:rsidRDefault="00182ED4" w:rsidP="00182ED4">
      <w:pPr>
        <w:spacing w:line="276" w:lineRule="auto"/>
        <w:rPr>
          <w:rFonts w:ascii="Book Antiqua" w:hAnsi="Book Antiqua"/>
          <w:sz w:val="36"/>
          <w:szCs w:val="36"/>
        </w:rPr>
      </w:pPr>
    </w:p>
    <w:p w14:paraId="7F33744C" w14:textId="3489EFE5" w:rsidR="00182ED4" w:rsidRPr="00BD1432" w:rsidRDefault="00182ED4" w:rsidP="00BD1432">
      <w:pPr>
        <w:jc w:val="center"/>
        <w:rPr>
          <w:rFonts w:ascii="Book Antiqua" w:hAnsi="Book Antiqua"/>
          <w:sz w:val="36"/>
          <w:szCs w:val="36"/>
        </w:rPr>
      </w:pPr>
      <w:r>
        <w:rPr>
          <w:rFonts w:ascii="Book Antiqua" w:hAnsi="Book Antiqua"/>
          <w:sz w:val="36"/>
          <w:szCs w:val="36"/>
        </w:rPr>
        <w:t xml:space="preserve">Estudio para la definición de </w:t>
      </w:r>
      <w:r w:rsidRPr="00BD1432">
        <w:rPr>
          <w:rFonts w:ascii="Book Antiqua" w:hAnsi="Book Antiqua"/>
          <w:sz w:val="36"/>
          <w:szCs w:val="36"/>
        </w:rPr>
        <w:t>cuotas de trabajo en los Tribunales que atienden las apelaciones en materia Trabajo y Civil del país</w:t>
      </w:r>
      <w:r>
        <w:rPr>
          <w:rFonts w:ascii="Book Antiqua" w:hAnsi="Book Antiqua"/>
          <w:sz w:val="36"/>
          <w:szCs w:val="36"/>
        </w:rPr>
        <w:t xml:space="preserve"> </w:t>
      </w:r>
      <w:r w:rsidR="00C268B0">
        <w:rPr>
          <w:rFonts w:ascii="Book Antiqua" w:hAnsi="Book Antiqua"/>
          <w:sz w:val="36"/>
          <w:szCs w:val="36"/>
        </w:rPr>
        <w:t>(Mixto)</w:t>
      </w:r>
    </w:p>
    <w:p w14:paraId="1B5B3313" w14:textId="77777777" w:rsidR="00182ED4" w:rsidRPr="00BD1432" w:rsidRDefault="00182ED4" w:rsidP="00182ED4">
      <w:pPr>
        <w:spacing w:line="276" w:lineRule="auto"/>
        <w:jc w:val="center"/>
        <w:rPr>
          <w:rFonts w:ascii="Book Antiqua" w:hAnsi="Book Antiqua"/>
          <w:sz w:val="36"/>
          <w:szCs w:val="36"/>
        </w:rPr>
      </w:pPr>
    </w:p>
    <w:p w14:paraId="54AA3286" w14:textId="77777777" w:rsidR="00182ED4" w:rsidRPr="00BD1432" w:rsidRDefault="00182ED4" w:rsidP="00BD1432">
      <w:pPr>
        <w:spacing w:line="276" w:lineRule="auto"/>
        <w:rPr>
          <w:rFonts w:ascii="Book Antiqua" w:hAnsi="Book Antiqua"/>
          <w:sz w:val="40"/>
          <w:szCs w:val="40"/>
        </w:rPr>
      </w:pPr>
    </w:p>
    <w:p w14:paraId="5BC3969A" w14:textId="35A9E399" w:rsidR="009B696B" w:rsidRDefault="006E6CBA">
      <w:pPr>
        <w:spacing w:line="276" w:lineRule="auto"/>
        <w:jc w:val="center"/>
        <w:rPr>
          <w:rFonts w:ascii="Book Antiqua" w:hAnsi="Book Antiqua"/>
          <w:sz w:val="36"/>
          <w:szCs w:val="36"/>
        </w:rPr>
      </w:pPr>
      <w:r>
        <w:rPr>
          <w:rFonts w:ascii="Book Antiqua" w:hAnsi="Book Antiqua"/>
          <w:sz w:val="36"/>
          <w:szCs w:val="36"/>
        </w:rPr>
        <w:t>Septiembre</w:t>
      </w:r>
      <w:r w:rsidR="00182ED4" w:rsidRPr="00BD1432">
        <w:rPr>
          <w:rFonts w:ascii="Book Antiqua" w:hAnsi="Book Antiqua"/>
          <w:sz w:val="36"/>
          <w:szCs w:val="36"/>
        </w:rPr>
        <w:t xml:space="preserve">, </w:t>
      </w:r>
      <w:r w:rsidR="00BD1432" w:rsidRPr="00BD1432">
        <w:rPr>
          <w:rFonts w:ascii="Book Antiqua" w:hAnsi="Book Antiqua"/>
          <w:sz w:val="36"/>
          <w:szCs w:val="36"/>
        </w:rPr>
        <w:t>202</w:t>
      </w:r>
      <w:r w:rsidR="00BD1432">
        <w:rPr>
          <w:rFonts w:ascii="Book Antiqua" w:hAnsi="Book Antiqua"/>
          <w:sz w:val="36"/>
          <w:szCs w:val="36"/>
        </w:rPr>
        <w:t>1</w:t>
      </w:r>
    </w:p>
    <w:p w14:paraId="7C1EBCEC" w14:textId="380C6EC8" w:rsidR="00F64D98" w:rsidRDefault="00F64D98">
      <w:pPr>
        <w:spacing w:line="276" w:lineRule="auto"/>
        <w:jc w:val="center"/>
        <w:rPr>
          <w:rFonts w:ascii="Book Antiqua" w:hAnsi="Book Antiqua"/>
          <w:sz w:val="40"/>
          <w:szCs w:val="40"/>
        </w:rPr>
      </w:pPr>
    </w:p>
    <w:p w14:paraId="572C7BAC" w14:textId="4A8EB7E7" w:rsidR="00A72CC0" w:rsidRPr="00A72CC0" w:rsidRDefault="00A72CC0" w:rsidP="00D611CE">
      <w:pPr>
        <w:pStyle w:val="Ttulo2"/>
      </w:pPr>
      <w:r>
        <w:lastRenderedPageBreak/>
        <w:t>Antecedentes</w:t>
      </w:r>
    </w:p>
    <w:p w14:paraId="67696DEC" w14:textId="77777777" w:rsidR="007227C9" w:rsidRPr="002605B0" w:rsidRDefault="007227C9" w:rsidP="002605B0">
      <w:pPr>
        <w:jc w:val="both"/>
        <w:rPr>
          <w:rFonts w:ascii="Book Antiqua" w:hAnsi="Book Antiqua"/>
        </w:rPr>
      </w:pPr>
      <w:bookmarkStart w:id="3" w:name="_Hlk63070718"/>
    </w:p>
    <w:p w14:paraId="683581BE" w14:textId="77777777" w:rsidR="009112B1" w:rsidRPr="00EB438A" w:rsidRDefault="009112B1" w:rsidP="009C259C">
      <w:pPr>
        <w:pStyle w:val="Prrafodelista"/>
        <w:numPr>
          <w:ilvl w:val="0"/>
          <w:numId w:val="9"/>
        </w:numPr>
        <w:spacing w:line="240" w:lineRule="auto"/>
        <w:jc w:val="both"/>
        <w:rPr>
          <w:rFonts w:ascii="Book Antiqua" w:hAnsi="Book Antiqua"/>
        </w:rPr>
      </w:pPr>
      <w:r w:rsidRPr="00410CC9">
        <w:rPr>
          <w:rFonts w:ascii="Book Antiqua" w:hAnsi="Book Antiqua"/>
        </w:rPr>
        <w:t xml:space="preserve">Acuerdo tomado por el Consejo Superior en sesión </w:t>
      </w:r>
      <w:r w:rsidRPr="00F97DA3">
        <w:rPr>
          <w:rFonts w:ascii="Book Antiqua" w:hAnsi="Book Antiqua"/>
        </w:rPr>
        <w:t>64-17 del 6 de julio de 2017, artículo XXXII</w:t>
      </w:r>
      <w:r w:rsidRPr="008C6FBA">
        <w:rPr>
          <w:rFonts w:ascii="Book Antiqua" w:hAnsi="Book Antiqua"/>
        </w:rPr>
        <w:t xml:space="preserve">, en el </w:t>
      </w:r>
      <w:r w:rsidRPr="00EF1033">
        <w:rPr>
          <w:rFonts w:ascii="Book Antiqua" w:hAnsi="Book Antiqua"/>
        </w:rPr>
        <w:t>que se conoció el i</w:t>
      </w:r>
      <w:r w:rsidRPr="00EB438A">
        <w:rPr>
          <w:rFonts w:ascii="Book Antiqua" w:hAnsi="Book Antiqua"/>
        </w:rPr>
        <w:t xml:space="preserve">nforme de la Dirección de Planificación 1127-PLA-2017, relacionado con el estudio para determinar las cuotas de trabajo en los Tribunales que atienden las apelaciones en materia Laboral y Civil del país, el Consejo Superior acordó: </w:t>
      </w:r>
    </w:p>
    <w:p w14:paraId="67BF43B7" w14:textId="6F36760B" w:rsidR="009112B1" w:rsidRPr="002605B0" w:rsidRDefault="009112B1" w:rsidP="009112B1">
      <w:pPr>
        <w:spacing w:after="120"/>
        <w:ind w:left="1417" w:right="567"/>
        <w:jc w:val="both"/>
        <w:rPr>
          <w:rFonts w:ascii="Times New Roman" w:eastAsia="Times New Roman" w:hAnsi="Times New Roman" w:cs="Times New Roman"/>
          <w:i/>
          <w:iCs/>
          <w:lang w:eastAsia="es-CR"/>
        </w:rPr>
      </w:pPr>
      <w:r w:rsidRPr="002605B0">
        <w:rPr>
          <w:rFonts w:ascii="Times New Roman" w:eastAsia="Times New Roman" w:hAnsi="Times New Roman" w:cs="Times New Roman"/>
          <w:i/>
          <w:iCs/>
          <w:lang w:eastAsia="es-CR"/>
        </w:rPr>
        <w:t>“… conforme las recomendaciones expuestas, se aprueban las cuotas de desempeño mínimas para los Tribunales que atienden las apelaciones en materia Civil y Laboral del país. La organización interna de los Tribunales que atienden Materia Laboral y Materia Civil,  respecto a la distribución y atención de los asuntos se seguirá manejando de forma mixta, lo que implica una distribución de los casos entrados de forma igualitaria independientemente del tipo de materia y la especialidad de la persona juzgadora…”</w:t>
      </w:r>
      <w:r w:rsidR="00755F18">
        <w:rPr>
          <w:rFonts w:ascii="Times New Roman" w:eastAsia="Times New Roman" w:hAnsi="Times New Roman" w:cs="Times New Roman"/>
          <w:i/>
          <w:iCs/>
          <w:lang w:eastAsia="es-CR"/>
        </w:rPr>
        <w:t>.</w:t>
      </w:r>
    </w:p>
    <w:p w14:paraId="10B51852" w14:textId="564390C0" w:rsidR="00BD6FE8" w:rsidRPr="00F97DA3" w:rsidRDefault="00A94FEC" w:rsidP="009C259C">
      <w:pPr>
        <w:pStyle w:val="Prrafodelista"/>
        <w:numPr>
          <w:ilvl w:val="0"/>
          <w:numId w:val="9"/>
        </w:numPr>
        <w:jc w:val="both"/>
        <w:rPr>
          <w:rFonts w:ascii="Book Antiqua" w:hAnsi="Book Antiqua"/>
        </w:rPr>
      </w:pPr>
      <w:r w:rsidRPr="002605B0">
        <w:rPr>
          <w:rFonts w:ascii="Book Antiqua" w:hAnsi="Book Antiqua"/>
        </w:rPr>
        <w:t xml:space="preserve">Acta de Corte Plena Nº 023 </w:t>
      </w:r>
      <w:r w:rsidR="00E90A3E" w:rsidRPr="002605B0">
        <w:rPr>
          <w:rFonts w:ascii="Book Antiqua" w:hAnsi="Book Antiqua"/>
        </w:rPr>
        <w:t>–</w:t>
      </w:r>
      <w:r w:rsidRPr="002605B0">
        <w:rPr>
          <w:rFonts w:ascii="Book Antiqua" w:hAnsi="Book Antiqua"/>
        </w:rPr>
        <w:t xml:space="preserve"> 2017</w:t>
      </w:r>
      <w:r w:rsidR="00E90A3E" w:rsidRPr="002605B0">
        <w:rPr>
          <w:rFonts w:ascii="Book Antiqua" w:hAnsi="Book Antiqua"/>
        </w:rPr>
        <w:t xml:space="preserve">, </w:t>
      </w:r>
      <w:r w:rsidR="00D65A2D" w:rsidRPr="002605B0">
        <w:rPr>
          <w:rFonts w:ascii="Book Antiqua" w:hAnsi="Book Antiqua"/>
        </w:rPr>
        <w:t xml:space="preserve">artículo </w:t>
      </w:r>
      <w:r w:rsidR="00D65A2D" w:rsidRPr="002605B0" w:rsidDel="00D4695B">
        <w:rPr>
          <w:rFonts w:ascii="Book Antiqua" w:hAnsi="Book Antiqua"/>
        </w:rPr>
        <w:t>VIII</w:t>
      </w:r>
      <w:r w:rsidR="00393BF5" w:rsidRPr="00410CC9" w:rsidDel="00D4695B">
        <w:rPr>
          <w:rFonts w:ascii="Book Antiqua" w:hAnsi="Book Antiqua"/>
        </w:rPr>
        <w:t xml:space="preserve">, </w:t>
      </w:r>
      <w:r w:rsidR="009112B1" w:rsidRPr="002605B0">
        <w:rPr>
          <w:rFonts w:ascii="Book Antiqua" w:hAnsi="Book Antiqua"/>
        </w:rPr>
        <w:t>del 17</w:t>
      </w:r>
      <w:r w:rsidR="00D65A2D" w:rsidRPr="002605B0">
        <w:rPr>
          <w:rFonts w:ascii="Book Antiqua" w:hAnsi="Book Antiqua"/>
        </w:rPr>
        <w:t xml:space="preserve"> de Julio del 2017</w:t>
      </w:r>
      <w:r w:rsidR="00393BF5" w:rsidRPr="00410CC9">
        <w:rPr>
          <w:rFonts w:ascii="Book Antiqua" w:hAnsi="Book Antiqua"/>
        </w:rPr>
        <w:t xml:space="preserve">, en el cual se conoció el </w:t>
      </w:r>
      <w:r w:rsidR="00A50738" w:rsidRPr="00410CC9">
        <w:rPr>
          <w:rFonts w:ascii="Book Antiqua" w:hAnsi="Book Antiqua"/>
        </w:rPr>
        <w:t xml:space="preserve">oficio </w:t>
      </w:r>
      <w:r w:rsidR="00332E2A" w:rsidRPr="002605B0">
        <w:rPr>
          <w:rFonts w:ascii="Book Antiqua" w:hAnsi="Book Antiqua"/>
        </w:rPr>
        <w:t>1163-PLA-2017</w:t>
      </w:r>
      <w:r w:rsidR="00442397" w:rsidRPr="002605B0">
        <w:rPr>
          <w:rFonts w:ascii="Book Antiqua" w:hAnsi="Book Antiqua"/>
        </w:rPr>
        <w:t xml:space="preserve"> </w:t>
      </w:r>
      <w:r w:rsidR="00A50738" w:rsidRPr="002605B0">
        <w:rPr>
          <w:rFonts w:ascii="Book Antiqua" w:hAnsi="Book Antiqua"/>
        </w:rPr>
        <w:t xml:space="preserve">relacionado </w:t>
      </w:r>
      <w:r w:rsidR="00442397" w:rsidRPr="002605B0">
        <w:rPr>
          <w:rFonts w:ascii="Book Antiqua" w:hAnsi="Book Antiqua"/>
        </w:rPr>
        <w:t>con la propuesta de regionalización para la segunda instancia en materia Civil y Laboral y su competencia</w:t>
      </w:r>
      <w:bookmarkEnd w:id="3"/>
      <w:r w:rsidR="00591A80" w:rsidRPr="00410CC9">
        <w:rPr>
          <w:rFonts w:ascii="Book Antiqua" w:hAnsi="Book Antiqua"/>
        </w:rPr>
        <w:t xml:space="preserve">, en el que se acordó: </w:t>
      </w:r>
    </w:p>
    <w:p w14:paraId="04C0C9C9" w14:textId="518D386D" w:rsidR="00545E25" w:rsidRDefault="00545E25" w:rsidP="002605B0">
      <w:pPr>
        <w:shd w:val="clear" w:color="auto" w:fill="FFFFFF"/>
        <w:spacing w:after="120" w:line="240" w:lineRule="auto"/>
        <w:ind w:left="1417" w:right="567"/>
        <w:jc w:val="both"/>
        <w:rPr>
          <w:rFonts w:ascii="Book Antiqua" w:hAnsi="Book Antiqua"/>
          <w:i/>
          <w:iCs/>
        </w:rPr>
      </w:pPr>
      <w:r w:rsidRPr="002605B0">
        <w:rPr>
          <w:rFonts w:ascii="Book Antiqua" w:hAnsi="Book Antiqua"/>
          <w:i/>
          <w:iCs/>
        </w:rPr>
        <w:t> </w:t>
      </w:r>
      <w:r w:rsidRPr="00410CC9">
        <w:rPr>
          <w:rFonts w:ascii="Book Antiqua" w:hAnsi="Book Antiqua"/>
          <w:i/>
          <w:iCs/>
        </w:rPr>
        <w:t>“</w:t>
      </w:r>
      <w:r w:rsidRPr="002605B0">
        <w:rPr>
          <w:rFonts w:ascii="Book Antiqua" w:hAnsi="Book Antiqua"/>
          <w:i/>
          <w:iCs/>
        </w:rPr>
        <w:t>Aprobar el oficio 1163-PLA-2017 que contiene el informe 88-MI-2017-B y el oficio N° 1088-PLA-2017-B de la Dirección de Planificación en la forma propuesta, por ende: 1.) Mantener la especialización recomendada en los informes 30-PLA-PI-2016 y 31-PLA-PI-2016 en Heredia, Cartago y Puntarenas (incluyendo el conocimiento de los asuntos ordinarios y sucesorios-consecuente modificación de la competencia material de los Tribunales Civiles de San José) a partir el 25 de Julio 2017. Asimismo, se incluyen adicionalmente la Zona Sur, Atlántica, Guanacaste y Alajuela. 2.) Dejar sin efecto la estructura planteada y aprobada en el informe 30-PLA-PI-2016 realizado por la Dirección de Planificación para la segunda instancia en materias Civil y Trabajo, la cual se sustituirá por el modelo regionalizado. 3.) Con motivo de lo resuelto en el punto anterior, la regionalización de las materias Civil y de Trabajo será de la siguiente manera:</w:t>
      </w:r>
    </w:p>
    <w:p w14:paraId="31BA9141" w14:textId="6F970D33" w:rsidR="006E6CBA" w:rsidRDefault="006E6CBA" w:rsidP="002605B0">
      <w:pPr>
        <w:shd w:val="clear" w:color="auto" w:fill="FFFFFF"/>
        <w:spacing w:after="120" w:line="240" w:lineRule="auto"/>
        <w:ind w:left="1417" w:right="567"/>
        <w:jc w:val="both"/>
        <w:rPr>
          <w:rFonts w:ascii="Book Antiqua" w:hAnsi="Book Antiqua"/>
          <w:i/>
          <w:iCs/>
        </w:rPr>
      </w:pPr>
    </w:p>
    <w:p w14:paraId="10E259B0" w14:textId="569767AA" w:rsidR="006E6CBA" w:rsidRDefault="006E6CBA" w:rsidP="002605B0">
      <w:pPr>
        <w:shd w:val="clear" w:color="auto" w:fill="FFFFFF"/>
        <w:spacing w:after="120" w:line="240" w:lineRule="auto"/>
        <w:ind w:left="1417" w:right="567"/>
        <w:jc w:val="both"/>
        <w:rPr>
          <w:rFonts w:ascii="Book Antiqua" w:hAnsi="Book Antiqua"/>
          <w:i/>
          <w:iCs/>
        </w:rPr>
      </w:pPr>
    </w:p>
    <w:p w14:paraId="0970BD7A" w14:textId="4521A732" w:rsidR="006E6CBA" w:rsidRDefault="006E6CBA" w:rsidP="002605B0">
      <w:pPr>
        <w:shd w:val="clear" w:color="auto" w:fill="FFFFFF"/>
        <w:spacing w:after="120" w:line="240" w:lineRule="auto"/>
        <w:ind w:left="1417" w:right="567"/>
        <w:jc w:val="both"/>
        <w:rPr>
          <w:rFonts w:ascii="Book Antiqua" w:hAnsi="Book Antiqua"/>
          <w:i/>
          <w:iCs/>
        </w:rPr>
      </w:pPr>
    </w:p>
    <w:p w14:paraId="3717F3A5" w14:textId="77777777" w:rsidR="006E6CBA" w:rsidRPr="002605B0" w:rsidRDefault="006E6CBA" w:rsidP="002605B0">
      <w:pPr>
        <w:shd w:val="clear" w:color="auto" w:fill="FFFFFF"/>
        <w:spacing w:after="120" w:line="240" w:lineRule="auto"/>
        <w:ind w:left="1417" w:right="567"/>
        <w:jc w:val="both"/>
        <w:rPr>
          <w:rFonts w:ascii="Book Antiqua" w:hAnsi="Book Antiqua"/>
          <w:i/>
          <w:iCs/>
        </w:rPr>
      </w:pPr>
    </w:p>
    <w:tbl>
      <w:tblPr>
        <w:tblW w:w="6369" w:type="dxa"/>
        <w:jc w:val="center"/>
        <w:tblCellMar>
          <w:left w:w="0" w:type="dxa"/>
          <w:right w:w="0" w:type="dxa"/>
        </w:tblCellMar>
        <w:tblLook w:val="04A0" w:firstRow="1" w:lastRow="0" w:firstColumn="1" w:lastColumn="0" w:noHBand="0" w:noVBand="1"/>
      </w:tblPr>
      <w:tblGrid>
        <w:gridCol w:w="2967"/>
        <w:gridCol w:w="3402"/>
      </w:tblGrid>
      <w:tr w:rsidR="002C0472" w:rsidRPr="00410CC9" w14:paraId="67E8442B" w14:textId="77777777" w:rsidTr="002C0472">
        <w:trPr>
          <w:trHeight w:val="391"/>
          <w:jc w:val="center"/>
        </w:trPr>
        <w:tc>
          <w:tcPr>
            <w:tcW w:w="2967" w:type="dxa"/>
            <w:tcBorders>
              <w:top w:val="single" w:sz="8" w:space="0" w:color="auto"/>
              <w:left w:val="single" w:sz="8" w:space="0" w:color="auto"/>
              <w:bottom w:val="single" w:sz="8" w:space="0" w:color="auto"/>
              <w:right w:val="single" w:sz="8" w:space="0" w:color="auto"/>
            </w:tcBorders>
            <w:shd w:val="clear" w:color="auto" w:fill="auto"/>
            <w:noWrap/>
            <w:tcMar>
              <w:top w:w="0" w:type="dxa"/>
              <w:left w:w="70" w:type="dxa"/>
              <w:bottom w:w="0" w:type="dxa"/>
              <w:right w:w="70" w:type="dxa"/>
            </w:tcMar>
            <w:vAlign w:val="center"/>
            <w:hideMark/>
          </w:tcPr>
          <w:p w14:paraId="7309DC24" w14:textId="77777777" w:rsidR="00545E25" w:rsidRPr="002605B0" w:rsidRDefault="00545E25" w:rsidP="002C0472">
            <w:pPr>
              <w:spacing w:after="0" w:line="240" w:lineRule="auto"/>
              <w:jc w:val="both"/>
              <w:rPr>
                <w:rFonts w:ascii="Times New Roman" w:eastAsia="Times New Roman" w:hAnsi="Times New Roman" w:cs="Times New Roman"/>
                <w:i/>
                <w:iCs/>
                <w:lang w:eastAsia="es-CR"/>
              </w:rPr>
            </w:pPr>
            <w:r w:rsidRPr="002605B0">
              <w:rPr>
                <w:rFonts w:ascii="Book Antiqua" w:hAnsi="Book Antiqua"/>
                <w:i/>
                <w:iCs/>
              </w:rPr>
              <w:lastRenderedPageBreak/>
              <w:t>Tribunal</w:t>
            </w:r>
            <w:r w:rsidRPr="002605B0">
              <w:rPr>
                <w:rFonts w:ascii="Times New Roman" w:eastAsia="Times New Roman" w:hAnsi="Times New Roman" w:cs="Times New Roman"/>
                <w:i/>
                <w:iCs/>
                <w:lang w:eastAsia="es-CR"/>
              </w:rPr>
              <w:t xml:space="preserve"> mixto actual de:</w:t>
            </w:r>
          </w:p>
        </w:tc>
        <w:tc>
          <w:tcPr>
            <w:tcW w:w="3402" w:type="dxa"/>
            <w:tcBorders>
              <w:top w:val="single" w:sz="8" w:space="0" w:color="auto"/>
              <w:left w:val="nil"/>
              <w:bottom w:val="single" w:sz="8" w:space="0" w:color="auto"/>
              <w:right w:val="single" w:sz="8" w:space="0" w:color="auto"/>
            </w:tcBorders>
            <w:shd w:val="clear" w:color="auto" w:fill="92CDDC"/>
            <w:noWrap/>
            <w:tcMar>
              <w:top w:w="0" w:type="dxa"/>
              <w:left w:w="70" w:type="dxa"/>
              <w:bottom w:w="0" w:type="dxa"/>
              <w:right w:w="70" w:type="dxa"/>
            </w:tcMar>
            <w:vAlign w:val="center"/>
            <w:hideMark/>
          </w:tcPr>
          <w:p w14:paraId="5C4F43C8" w14:textId="77777777" w:rsidR="00545E25" w:rsidRPr="002605B0" w:rsidRDefault="00545E25" w:rsidP="002C0472">
            <w:pPr>
              <w:spacing w:after="0" w:line="240" w:lineRule="auto"/>
              <w:jc w:val="both"/>
              <w:rPr>
                <w:rFonts w:ascii="Times New Roman" w:eastAsia="Times New Roman" w:hAnsi="Times New Roman" w:cs="Times New Roman"/>
                <w:i/>
                <w:iCs/>
                <w:lang w:eastAsia="es-CR"/>
              </w:rPr>
            </w:pPr>
            <w:r w:rsidRPr="002605B0">
              <w:rPr>
                <w:rFonts w:ascii="Times New Roman" w:eastAsia="Times New Roman" w:hAnsi="Times New Roman" w:cs="Times New Roman"/>
                <w:i/>
                <w:iCs/>
                <w:lang w:eastAsia="es-CR"/>
              </w:rPr>
              <w:t>Futuro Tribunal de Apelaciones Civil y de Trabajo</w:t>
            </w:r>
          </w:p>
        </w:tc>
      </w:tr>
      <w:tr w:rsidR="002C0472" w:rsidRPr="00410CC9" w14:paraId="7BEDCB43" w14:textId="77777777" w:rsidTr="002C0472">
        <w:trPr>
          <w:trHeight w:val="96"/>
          <w:jc w:val="center"/>
        </w:trPr>
        <w:tc>
          <w:tcPr>
            <w:tcW w:w="2967"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14:paraId="548C10C5" w14:textId="77777777" w:rsidR="00545E25" w:rsidRPr="002605B0" w:rsidRDefault="00545E25" w:rsidP="002C0472">
            <w:pPr>
              <w:spacing w:after="0" w:line="240" w:lineRule="auto"/>
              <w:jc w:val="both"/>
              <w:rPr>
                <w:rFonts w:ascii="Times New Roman" w:eastAsia="Times New Roman" w:hAnsi="Times New Roman" w:cs="Times New Roman"/>
                <w:i/>
                <w:iCs/>
                <w:lang w:eastAsia="es-CR"/>
              </w:rPr>
            </w:pPr>
            <w:r w:rsidRPr="002605B0">
              <w:rPr>
                <w:rFonts w:ascii="Times New Roman" w:eastAsia="Times New Roman" w:hAnsi="Times New Roman" w:cs="Times New Roman"/>
                <w:i/>
                <w:iCs/>
                <w:lang w:eastAsia="es-CR"/>
              </w:rPr>
              <w:t>Primer Circuito Judicial Zona Sur</w:t>
            </w:r>
          </w:p>
        </w:tc>
        <w:tc>
          <w:tcPr>
            <w:tcW w:w="3402" w:type="dxa"/>
            <w:vMerge w:val="restart"/>
            <w:tcBorders>
              <w:top w:val="nil"/>
              <w:left w:val="nil"/>
              <w:bottom w:val="single" w:sz="8" w:space="0" w:color="auto"/>
              <w:right w:val="single" w:sz="8" w:space="0" w:color="auto"/>
            </w:tcBorders>
            <w:shd w:val="clear" w:color="auto" w:fill="92CDDC"/>
            <w:tcMar>
              <w:top w:w="0" w:type="dxa"/>
              <w:left w:w="70" w:type="dxa"/>
              <w:bottom w:w="0" w:type="dxa"/>
              <w:right w:w="70" w:type="dxa"/>
            </w:tcMar>
            <w:vAlign w:val="center"/>
            <w:hideMark/>
          </w:tcPr>
          <w:p w14:paraId="1C6C25AB" w14:textId="78013CFD" w:rsidR="00545E25" w:rsidRPr="002605B0" w:rsidRDefault="00545E25" w:rsidP="002C0472">
            <w:pPr>
              <w:spacing w:after="0" w:line="240" w:lineRule="auto"/>
              <w:jc w:val="both"/>
              <w:rPr>
                <w:rFonts w:ascii="Times New Roman" w:eastAsia="Times New Roman" w:hAnsi="Times New Roman" w:cs="Times New Roman"/>
                <w:i/>
                <w:iCs/>
                <w:lang w:eastAsia="es-CR"/>
              </w:rPr>
            </w:pPr>
            <w:r w:rsidRPr="002605B0">
              <w:rPr>
                <w:rFonts w:ascii="Times New Roman" w:eastAsia="Times New Roman" w:hAnsi="Times New Roman" w:cs="Times New Roman"/>
                <w:i/>
                <w:iCs/>
                <w:lang w:eastAsia="es-CR"/>
              </w:rPr>
              <w:t>Tribunal de Apelación Civil y de Trabajo de la Zona Sur, sede Pérez Zeledón</w:t>
            </w:r>
          </w:p>
        </w:tc>
      </w:tr>
      <w:tr w:rsidR="002C0472" w:rsidRPr="00410CC9" w14:paraId="5F0F5C94" w14:textId="77777777" w:rsidTr="002C0472">
        <w:trPr>
          <w:trHeight w:val="96"/>
          <w:jc w:val="center"/>
        </w:trPr>
        <w:tc>
          <w:tcPr>
            <w:tcW w:w="2967"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14:paraId="6C9BC7BE" w14:textId="77777777" w:rsidR="00545E25" w:rsidRPr="002605B0" w:rsidRDefault="00545E25" w:rsidP="002C0472">
            <w:pPr>
              <w:spacing w:after="0" w:line="240" w:lineRule="auto"/>
              <w:jc w:val="both"/>
              <w:rPr>
                <w:rFonts w:ascii="Times New Roman" w:eastAsia="Times New Roman" w:hAnsi="Times New Roman" w:cs="Times New Roman"/>
                <w:i/>
                <w:iCs/>
                <w:lang w:eastAsia="es-CR"/>
              </w:rPr>
            </w:pPr>
            <w:r w:rsidRPr="002605B0">
              <w:rPr>
                <w:rFonts w:ascii="Times New Roman" w:eastAsia="Times New Roman" w:hAnsi="Times New Roman" w:cs="Times New Roman"/>
                <w:i/>
                <w:iCs/>
                <w:lang w:eastAsia="es-CR"/>
              </w:rPr>
              <w:t>Segundo Circuito Judicial Zona Sur</w:t>
            </w:r>
          </w:p>
        </w:tc>
        <w:tc>
          <w:tcPr>
            <w:tcW w:w="3402" w:type="dxa"/>
            <w:vMerge/>
            <w:tcBorders>
              <w:top w:val="nil"/>
              <w:left w:val="nil"/>
              <w:bottom w:val="single" w:sz="8" w:space="0" w:color="auto"/>
              <w:right w:val="single" w:sz="8" w:space="0" w:color="auto"/>
            </w:tcBorders>
            <w:shd w:val="clear" w:color="auto" w:fill="auto"/>
            <w:vAlign w:val="center"/>
            <w:hideMark/>
          </w:tcPr>
          <w:p w14:paraId="2F4AAE59" w14:textId="77777777" w:rsidR="00545E25" w:rsidRPr="002605B0" w:rsidRDefault="00545E25" w:rsidP="002C0472">
            <w:pPr>
              <w:spacing w:after="0" w:line="240" w:lineRule="auto"/>
              <w:rPr>
                <w:rFonts w:ascii="Times New Roman" w:eastAsia="Times New Roman" w:hAnsi="Times New Roman" w:cs="Times New Roman"/>
                <w:i/>
                <w:iCs/>
                <w:lang w:eastAsia="es-CR"/>
              </w:rPr>
            </w:pPr>
          </w:p>
        </w:tc>
      </w:tr>
      <w:tr w:rsidR="002C0472" w:rsidRPr="00410CC9" w14:paraId="59688094" w14:textId="77777777" w:rsidTr="002C0472">
        <w:trPr>
          <w:trHeight w:val="96"/>
          <w:jc w:val="center"/>
        </w:trPr>
        <w:tc>
          <w:tcPr>
            <w:tcW w:w="2967"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14:paraId="6B5F8835" w14:textId="77777777" w:rsidR="00545E25" w:rsidRPr="002605B0" w:rsidRDefault="00545E25" w:rsidP="002C0472">
            <w:pPr>
              <w:spacing w:after="0" w:line="240" w:lineRule="auto"/>
              <w:jc w:val="both"/>
              <w:rPr>
                <w:rFonts w:ascii="Times New Roman" w:eastAsia="Times New Roman" w:hAnsi="Times New Roman" w:cs="Times New Roman"/>
                <w:i/>
                <w:iCs/>
                <w:lang w:eastAsia="es-CR"/>
              </w:rPr>
            </w:pPr>
            <w:r w:rsidRPr="002605B0">
              <w:rPr>
                <w:rFonts w:ascii="Times New Roman" w:eastAsia="Times New Roman" w:hAnsi="Times New Roman" w:cs="Times New Roman"/>
                <w:i/>
                <w:iCs/>
                <w:lang w:eastAsia="es-CR"/>
              </w:rPr>
              <w:t>Primer Circuito Judicial de Guanacaste</w:t>
            </w:r>
          </w:p>
        </w:tc>
        <w:tc>
          <w:tcPr>
            <w:tcW w:w="3402" w:type="dxa"/>
            <w:vMerge w:val="restart"/>
            <w:tcBorders>
              <w:top w:val="nil"/>
              <w:left w:val="nil"/>
              <w:bottom w:val="single" w:sz="8" w:space="0" w:color="auto"/>
              <w:right w:val="single" w:sz="8" w:space="0" w:color="auto"/>
            </w:tcBorders>
            <w:shd w:val="clear" w:color="auto" w:fill="92CDDC"/>
            <w:tcMar>
              <w:top w:w="0" w:type="dxa"/>
              <w:left w:w="70" w:type="dxa"/>
              <w:bottom w:w="0" w:type="dxa"/>
              <w:right w:w="70" w:type="dxa"/>
            </w:tcMar>
            <w:vAlign w:val="center"/>
            <w:hideMark/>
          </w:tcPr>
          <w:p w14:paraId="4AF94F6A" w14:textId="77777777" w:rsidR="00545E25" w:rsidRPr="002605B0" w:rsidRDefault="00545E25" w:rsidP="002C0472">
            <w:pPr>
              <w:spacing w:after="0" w:line="240" w:lineRule="auto"/>
              <w:jc w:val="both"/>
              <w:rPr>
                <w:rFonts w:ascii="Times New Roman" w:eastAsia="Times New Roman" w:hAnsi="Times New Roman" w:cs="Times New Roman"/>
                <w:i/>
                <w:iCs/>
                <w:lang w:eastAsia="es-CR"/>
              </w:rPr>
            </w:pPr>
            <w:r w:rsidRPr="002605B0">
              <w:rPr>
                <w:rFonts w:ascii="Times New Roman" w:eastAsia="Times New Roman" w:hAnsi="Times New Roman" w:cs="Times New Roman"/>
                <w:i/>
                <w:iCs/>
                <w:lang w:eastAsia="es-CR"/>
              </w:rPr>
              <w:t>Tribunal de Apelación Civil y de Trabajo de Guanacaste, sede Liberia</w:t>
            </w:r>
          </w:p>
        </w:tc>
      </w:tr>
      <w:tr w:rsidR="002C0472" w:rsidRPr="00410CC9" w14:paraId="151FFEFA" w14:textId="77777777" w:rsidTr="002C0472">
        <w:trPr>
          <w:trHeight w:val="96"/>
          <w:jc w:val="center"/>
        </w:trPr>
        <w:tc>
          <w:tcPr>
            <w:tcW w:w="2967"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14:paraId="19199D43" w14:textId="77777777" w:rsidR="00545E25" w:rsidRPr="002605B0" w:rsidRDefault="00545E25" w:rsidP="002C0472">
            <w:pPr>
              <w:spacing w:after="0" w:line="240" w:lineRule="auto"/>
              <w:jc w:val="both"/>
              <w:rPr>
                <w:rFonts w:ascii="Times New Roman" w:eastAsia="Times New Roman" w:hAnsi="Times New Roman" w:cs="Times New Roman"/>
                <w:i/>
                <w:iCs/>
                <w:lang w:eastAsia="es-CR"/>
              </w:rPr>
            </w:pPr>
            <w:r w:rsidRPr="002605B0">
              <w:rPr>
                <w:rFonts w:ascii="Times New Roman" w:eastAsia="Times New Roman" w:hAnsi="Times New Roman" w:cs="Times New Roman"/>
                <w:i/>
                <w:iCs/>
                <w:lang w:eastAsia="es-CR"/>
              </w:rPr>
              <w:t>Segundo Circuito Judicial de Guanacaste</w:t>
            </w:r>
          </w:p>
        </w:tc>
        <w:tc>
          <w:tcPr>
            <w:tcW w:w="3402" w:type="dxa"/>
            <w:vMerge/>
            <w:tcBorders>
              <w:top w:val="nil"/>
              <w:left w:val="nil"/>
              <w:bottom w:val="single" w:sz="8" w:space="0" w:color="auto"/>
              <w:right w:val="single" w:sz="8" w:space="0" w:color="auto"/>
            </w:tcBorders>
            <w:shd w:val="clear" w:color="auto" w:fill="auto"/>
            <w:vAlign w:val="center"/>
            <w:hideMark/>
          </w:tcPr>
          <w:p w14:paraId="06B2D19C" w14:textId="77777777" w:rsidR="00545E25" w:rsidRPr="002605B0" w:rsidRDefault="00545E25" w:rsidP="002C0472">
            <w:pPr>
              <w:spacing w:after="0" w:line="240" w:lineRule="auto"/>
              <w:rPr>
                <w:rFonts w:ascii="Times New Roman" w:eastAsia="Times New Roman" w:hAnsi="Times New Roman" w:cs="Times New Roman"/>
                <w:i/>
                <w:iCs/>
                <w:lang w:eastAsia="es-CR"/>
              </w:rPr>
            </w:pPr>
          </w:p>
        </w:tc>
      </w:tr>
      <w:tr w:rsidR="002C0472" w:rsidRPr="00410CC9" w14:paraId="1B5FDB77" w14:textId="77777777" w:rsidTr="002C0472">
        <w:trPr>
          <w:trHeight w:val="96"/>
          <w:jc w:val="center"/>
        </w:trPr>
        <w:tc>
          <w:tcPr>
            <w:tcW w:w="2967"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14:paraId="0785843B" w14:textId="77777777" w:rsidR="00545E25" w:rsidRPr="002605B0" w:rsidRDefault="00545E25" w:rsidP="002C0472">
            <w:pPr>
              <w:spacing w:after="0" w:line="240" w:lineRule="auto"/>
              <w:jc w:val="both"/>
              <w:rPr>
                <w:rFonts w:ascii="Times New Roman" w:eastAsia="Times New Roman" w:hAnsi="Times New Roman" w:cs="Times New Roman"/>
                <w:i/>
                <w:iCs/>
                <w:lang w:eastAsia="es-CR"/>
              </w:rPr>
            </w:pPr>
            <w:r w:rsidRPr="002605B0">
              <w:rPr>
                <w:rFonts w:ascii="Times New Roman" w:eastAsia="Times New Roman" w:hAnsi="Times New Roman" w:cs="Times New Roman"/>
                <w:i/>
                <w:iCs/>
                <w:lang w:eastAsia="es-CR"/>
              </w:rPr>
              <w:t>Primer Circuito Judicial de la Zona Atlántica</w:t>
            </w:r>
          </w:p>
        </w:tc>
        <w:tc>
          <w:tcPr>
            <w:tcW w:w="3402" w:type="dxa"/>
            <w:vMerge w:val="restart"/>
            <w:tcBorders>
              <w:top w:val="nil"/>
              <w:left w:val="nil"/>
              <w:bottom w:val="single" w:sz="8" w:space="0" w:color="auto"/>
              <w:right w:val="single" w:sz="8" w:space="0" w:color="auto"/>
            </w:tcBorders>
            <w:shd w:val="clear" w:color="auto" w:fill="92CDDC"/>
            <w:tcMar>
              <w:top w:w="0" w:type="dxa"/>
              <w:left w:w="70" w:type="dxa"/>
              <w:bottom w:w="0" w:type="dxa"/>
              <w:right w:w="70" w:type="dxa"/>
            </w:tcMar>
            <w:vAlign w:val="center"/>
            <w:hideMark/>
          </w:tcPr>
          <w:p w14:paraId="282E82E2" w14:textId="77777777" w:rsidR="00545E25" w:rsidRPr="002605B0" w:rsidRDefault="00545E25" w:rsidP="002C0472">
            <w:pPr>
              <w:spacing w:after="0" w:line="240" w:lineRule="auto"/>
              <w:jc w:val="both"/>
              <w:rPr>
                <w:rFonts w:ascii="Times New Roman" w:eastAsia="Times New Roman" w:hAnsi="Times New Roman" w:cs="Times New Roman"/>
                <w:i/>
                <w:iCs/>
                <w:lang w:eastAsia="es-CR"/>
              </w:rPr>
            </w:pPr>
            <w:r w:rsidRPr="002605B0">
              <w:rPr>
                <w:rFonts w:ascii="Times New Roman" w:eastAsia="Times New Roman" w:hAnsi="Times New Roman" w:cs="Times New Roman"/>
                <w:i/>
                <w:iCs/>
                <w:lang w:eastAsia="es-CR"/>
              </w:rPr>
              <w:t>Tribunal de Apelación Civil y de Trabajo de la Zona Atlántica, sede Limón</w:t>
            </w:r>
          </w:p>
        </w:tc>
      </w:tr>
      <w:tr w:rsidR="002C0472" w:rsidRPr="00410CC9" w14:paraId="2C46407B" w14:textId="77777777" w:rsidTr="002C0472">
        <w:trPr>
          <w:trHeight w:val="96"/>
          <w:jc w:val="center"/>
        </w:trPr>
        <w:tc>
          <w:tcPr>
            <w:tcW w:w="2967"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14:paraId="47732305" w14:textId="77777777" w:rsidR="00545E25" w:rsidRPr="002605B0" w:rsidRDefault="00545E25" w:rsidP="002C0472">
            <w:pPr>
              <w:spacing w:after="0" w:line="240" w:lineRule="auto"/>
              <w:jc w:val="both"/>
              <w:rPr>
                <w:rFonts w:ascii="Times New Roman" w:eastAsia="Times New Roman" w:hAnsi="Times New Roman" w:cs="Times New Roman"/>
                <w:i/>
                <w:iCs/>
                <w:lang w:eastAsia="es-CR"/>
              </w:rPr>
            </w:pPr>
            <w:r w:rsidRPr="002605B0">
              <w:rPr>
                <w:rFonts w:ascii="Times New Roman" w:eastAsia="Times New Roman" w:hAnsi="Times New Roman" w:cs="Times New Roman"/>
                <w:i/>
                <w:iCs/>
                <w:lang w:eastAsia="es-CR"/>
              </w:rPr>
              <w:t>Segundo Circuito Judicial de la Zona Atlántica</w:t>
            </w:r>
          </w:p>
        </w:tc>
        <w:tc>
          <w:tcPr>
            <w:tcW w:w="3402" w:type="dxa"/>
            <w:vMerge/>
            <w:tcBorders>
              <w:top w:val="nil"/>
              <w:left w:val="nil"/>
              <w:bottom w:val="single" w:sz="8" w:space="0" w:color="auto"/>
              <w:right w:val="single" w:sz="8" w:space="0" w:color="auto"/>
            </w:tcBorders>
            <w:shd w:val="clear" w:color="auto" w:fill="auto"/>
            <w:vAlign w:val="center"/>
            <w:hideMark/>
          </w:tcPr>
          <w:p w14:paraId="271358E6" w14:textId="77777777" w:rsidR="00545E25" w:rsidRPr="002605B0" w:rsidRDefault="00545E25" w:rsidP="002C0472">
            <w:pPr>
              <w:spacing w:after="0" w:line="240" w:lineRule="auto"/>
              <w:rPr>
                <w:rFonts w:ascii="Times New Roman" w:eastAsia="Times New Roman" w:hAnsi="Times New Roman" w:cs="Times New Roman"/>
                <w:i/>
                <w:iCs/>
                <w:lang w:eastAsia="es-CR"/>
              </w:rPr>
            </w:pPr>
          </w:p>
        </w:tc>
      </w:tr>
      <w:tr w:rsidR="002C0472" w:rsidRPr="00410CC9" w14:paraId="4EA94A71" w14:textId="77777777" w:rsidTr="002C0472">
        <w:trPr>
          <w:trHeight w:val="160"/>
          <w:jc w:val="center"/>
        </w:trPr>
        <w:tc>
          <w:tcPr>
            <w:tcW w:w="2967"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14:paraId="1E2468C1" w14:textId="77777777" w:rsidR="00545E25" w:rsidRPr="002605B0" w:rsidRDefault="00545E25" w:rsidP="002C0472">
            <w:pPr>
              <w:spacing w:after="0" w:line="240" w:lineRule="auto"/>
              <w:jc w:val="both"/>
              <w:rPr>
                <w:rFonts w:ascii="Times New Roman" w:eastAsia="Times New Roman" w:hAnsi="Times New Roman" w:cs="Times New Roman"/>
                <w:i/>
                <w:iCs/>
                <w:lang w:eastAsia="es-CR"/>
              </w:rPr>
            </w:pPr>
            <w:r w:rsidRPr="002605B0">
              <w:rPr>
                <w:rFonts w:ascii="Times New Roman" w:eastAsia="Times New Roman" w:hAnsi="Times New Roman" w:cs="Times New Roman"/>
                <w:i/>
                <w:iCs/>
                <w:lang w:eastAsia="es-CR"/>
              </w:rPr>
              <w:t>Primer Circuito Judicial de Alajuela</w:t>
            </w:r>
          </w:p>
        </w:tc>
        <w:tc>
          <w:tcPr>
            <w:tcW w:w="3402" w:type="dxa"/>
            <w:vMerge w:val="restart"/>
            <w:tcBorders>
              <w:top w:val="nil"/>
              <w:left w:val="nil"/>
              <w:bottom w:val="single" w:sz="8" w:space="0" w:color="auto"/>
              <w:right w:val="single" w:sz="8" w:space="0" w:color="auto"/>
            </w:tcBorders>
            <w:shd w:val="clear" w:color="auto" w:fill="92CDDC"/>
            <w:tcMar>
              <w:top w:w="0" w:type="dxa"/>
              <w:left w:w="70" w:type="dxa"/>
              <w:bottom w:w="0" w:type="dxa"/>
              <w:right w:w="70" w:type="dxa"/>
            </w:tcMar>
            <w:vAlign w:val="center"/>
            <w:hideMark/>
          </w:tcPr>
          <w:p w14:paraId="75D3852F" w14:textId="77777777" w:rsidR="00545E25" w:rsidRPr="002605B0" w:rsidRDefault="00545E25" w:rsidP="002C0472">
            <w:pPr>
              <w:spacing w:after="0" w:line="240" w:lineRule="auto"/>
              <w:jc w:val="both"/>
              <w:rPr>
                <w:rFonts w:ascii="Times New Roman" w:eastAsia="Times New Roman" w:hAnsi="Times New Roman" w:cs="Times New Roman"/>
                <w:i/>
                <w:iCs/>
                <w:lang w:eastAsia="es-CR"/>
              </w:rPr>
            </w:pPr>
            <w:r w:rsidRPr="002605B0">
              <w:rPr>
                <w:rFonts w:ascii="Times New Roman" w:eastAsia="Times New Roman" w:hAnsi="Times New Roman" w:cs="Times New Roman"/>
                <w:i/>
                <w:iCs/>
                <w:lang w:eastAsia="es-CR"/>
              </w:rPr>
              <w:t>Tribunal de Apelación Civil y de Trabajo de Alajuela, sede Alajuela</w:t>
            </w:r>
          </w:p>
        </w:tc>
      </w:tr>
      <w:tr w:rsidR="002C0472" w:rsidRPr="00410CC9" w14:paraId="6F6C5A9E" w14:textId="77777777" w:rsidTr="002C0472">
        <w:trPr>
          <w:trHeight w:val="194"/>
          <w:jc w:val="center"/>
        </w:trPr>
        <w:tc>
          <w:tcPr>
            <w:tcW w:w="2967"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14:paraId="4F99C052" w14:textId="77777777" w:rsidR="00545E25" w:rsidRPr="002605B0" w:rsidRDefault="00545E25" w:rsidP="002C0472">
            <w:pPr>
              <w:spacing w:after="0" w:line="240" w:lineRule="auto"/>
              <w:jc w:val="both"/>
              <w:rPr>
                <w:rFonts w:ascii="Times New Roman" w:eastAsia="Times New Roman" w:hAnsi="Times New Roman" w:cs="Times New Roman"/>
                <w:i/>
                <w:iCs/>
                <w:lang w:eastAsia="es-CR"/>
              </w:rPr>
            </w:pPr>
            <w:r w:rsidRPr="002605B0">
              <w:rPr>
                <w:rFonts w:ascii="Times New Roman" w:eastAsia="Times New Roman" w:hAnsi="Times New Roman" w:cs="Times New Roman"/>
                <w:i/>
                <w:iCs/>
                <w:lang w:eastAsia="es-CR"/>
              </w:rPr>
              <w:t>Segundo Circuito Judicial de Alajuela</w:t>
            </w:r>
          </w:p>
        </w:tc>
        <w:tc>
          <w:tcPr>
            <w:tcW w:w="3402" w:type="dxa"/>
            <w:vMerge/>
            <w:tcBorders>
              <w:top w:val="nil"/>
              <w:left w:val="nil"/>
              <w:bottom w:val="single" w:sz="8" w:space="0" w:color="auto"/>
              <w:right w:val="single" w:sz="8" w:space="0" w:color="auto"/>
            </w:tcBorders>
            <w:shd w:val="clear" w:color="auto" w:fill="auto"/>
            <w:vAlign w:val="center"/>
            <w:hideMark/>
          </w:tcPr>
          <w:p w14:paraId="5873D983" w14:textId="77777777" w:rsidR="00545E25" w:rsidRPr="002605B0" w:rsidRDefault="00545E25" w:rsidP="002C0472">
            <w:pPr>
              <w:spacing w:after="0" w:line="240" w:lineRule="auto"/>
              <w:rPr>
                <w:rFonts w:ascii="Times New Roman" w:eastAsia="Times New Roman" w:hAnsi="Times New Roman" w:cs="Times New Roman"/>
                <w:i/>
                <w:iCs/>
                <w:lang w:eastAsia="es-CR"/>
              </w:rPr>
            </w:pPr>
          </w:p>
        </w:tc>
      </w:tr>
      <w:tr w:rsidR="002C0472" w:rsidRPr="00410CC9" w14:paraId="555B1911" w14:textId="77777777" w:rsidTr="002C0472">
        <w:trPr>
          <w:trHeight w:val="194"/>
          <w:jc w:val="center"/>
        </w:trPr>
        <w:tc>
          <w:tcPr>
            <w:tcW w:w="2967"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14:paraId="2ADD4C0C" w14:textId="77777777" w:rsidR="00545E25" w:rsidRPr="002605B0" w:rsidRDefault="00545E25" w:rsidP="002C0472">
            <w:pPr>
              <w:spacing w:after="0" w:line="240" w:lineRule="auto"/>
              <w:jc w:val="both"/>
              <w:rPr>
                <w:rFonts w:ascii="Times New Roman" w:eastAsia="Times New Roman" w:hAnsi="Times New Roman" w:cs="Times New Roman"/>
                <w:i/>
                <w:iCs/>
                <w:lang w:eastAsia="es-CR"/>
              </w:rPr>
            </w:pPr>
            <w:r w:rsidRPr="002605B0">
              <w:rPr>
                <w:rFonts w:ascii="Times New Roman" w:eastAsia="Times New Roman" w:hAnsi="Times New Roman" w:cs="Times New Roman"/>
                <w:i/>
                <w:iCs/>
                <w:lang w:eastAsia="es-CR"/>
              </w:rPr>
              <w:t>Tercer Circuito (San Ramón y Grecia)</w:t>
            </w:r>
          </w:p>
        </w:tc>
        <w:tc>
          <w:tcPr>
            <w:tcW w:w="3402" w:type="dxa"/>
            <w:vMerge/>
            <w:tcBorders>
              <w:top w:val="nil"/>
              <w:left w:val="nil"/>
              <w:bottom w:val="single" w:sz="8" w:space="0" w:color="auto"/>
              <w:right w:val="single" w:sz="8" w:space="0" w:color="auto"/>
            </w:tcBorders>
            <w:shd w:val="clear" w:color="auto" w:fill="auto"/>
            <w:vAlign w:val="center"/>
            <w:hideMark/>
          </w:tcPr>
          <w:p w14:paraId="06BB2A86" w14:textId="77777777" w:rsidR="00545E25" w:rsidRPr="002605B0" w:rsidRDefault="00545E25" w:rsidP="002C0472">
            <w:pPr>
              <w:spacing w:after="0" w:line="240" w:lineRule="auto"/>
              <w:rPr>
                <w:rFonts w:ascii="Times New Roman" w:eastAsia="Times New Roman" w:hAnsi="Times New Roman" w:cs="Times New Roman"/>
                <w:i/>
                <w:iCs/>
                <w:lang w:eastAsia="es-CR"/>
              </w:rPr>
            </w:pPr>
          </w:p>
        </w:tc>
      </w:tr>
    </w:tbl>
    <w:p w14:paraId="314148C4" w14:textId="175B73CB" w:rsidR="00545E25" w:rsidRPr="002605B0" w:rsidRDefault="008E6736" w:rsidP="002605B0">
      <w:pPr>
        <w:spacing w:after="120"/>
        <w:ind w:left="1417" w:right="567"/>
        <w:jc w:val="both"/>
        <w:rPr>
          <w:rFonts w:ascii="Book Antiqua" w:hAnsi="Book Antiqua"/>
        </w:rPr>
      </w:pPr>
      <w:r w:rsidRPr="00410CC9">
        <w:rPr>
          <w:rFonts w:ascii="Book Antiqua" w:hAnsi="Book Antiqua"/>
        </w:rPr>
        <w:t>…”</w:t>
      </w:r>
      <w:r w:rsidR="00755F18">
        <w:rPr>
          <w:rFonts w:ascii="Book Antiqua" w:hAnsi="Book Antiqua"/>
        </w:rPr>
        <w:t>.</w:t>
      </w:r>
    </w:p>
    <w:p w14:paraId="0C8F5F74" w14:textId="1863B1F4" w:rsidR="00581F04" w:rsidRDefault="00581F04" w:rsidP="00CE0BDE">
      <w:pPr>
        <w:rPr>
          <w:rFonts w:ascii="Calibri" w:hAnsi="Calibri" w:cs="Times New Roman"/>
        </w:rPr>
      </w:pPr>
      <w:bookmarkStart w:id="4" w:name="_Toc498370764"/>
      <w:bookmarkEnd w:id="4"/>
    </w:p>
    <w:p w14:paraId="1A52A576" w14:textId="138E3829" w:rsidR="003B2B95" w:rsidRPr="000202F1" w:rsidRDefault="003B2B95" w:rsidP="009C259C">
      <w:pPr>
        <w:pStyle w:val="Prrafodelista"/>
        <w:numPr>
          <w:ilvl w:val="0"/>
          <w:numId w:val="9"/>
        </w:numPr>
        <w:spacing w:after="0" w:line="240" w:lineRule="auto"/>
        <w:jc w:val="both"/>
        <w:rPr>
          <w:rFonts w:ascii="Book Antiqua" w:hAnsi="Book Antiqua"/>
        </w:rPr>
      </w:pPr>
      <w:r w:rsidRPr="000202F1">
        <w:rPr>
          <w:rFonts w:ascii="Book Antiqua" w:hAnsi="Book Antiqua"/>
        </w:rPr>
        <w:t>Oficio</w:t>
      </w:r>
      <w:r w:rsidR="00B43831" w:rsidRPr="000202F1">
        <w:rPr>
          <w:rFonts w:ascii="Book Antiqua" w:hAnsi="Book Antiqua"/>
        </w:rPr>
        <w:t xml:space="preserve"> 1488-PLA-2017 de la Dirección de Planificación en</w:t>
      </w:r>
      <w:r w:rsidRPr="000202F1">
        <w:rPr>
          <w:rFonts w:ascii="Book Antiqua" w:hAnsi="Book Antiqua"/>
        </w:rPr>
        <w:t xml:space="preserve"> el cual se remitió el informe 190-MI-2017</w:t>
      </w:r>
      <w:r w:rsidR="00B43831" w:rsidRPr="000202F1">
        <w:rPr>
          <w:rFonts w:ascii="Book Antiqua" w:hAnsi="Book Antiqua"/>
        </w:rPr>
        <w:t>,</w:t>
      </w:r>
      <w:r w:rsidRPr="000202F1">
        <w:rPr>
          <w:rFonts w:ascii="Book Antiqua" w:hAnsi="Book Antiqua"/>
        </w:rPr>
        <w:t xml:space="preserve"> relacionado con el proyecto realizado en la Sección Civil y de Trabajo del Tribunal de Juicio del Primer Circuito Judicial de Alajuela, actual Tribunal de Apelaciones Civil y de Trabajo del Primer Circuito Judicial de Alajuela en el marco de la Reforma al Código de Trabajo, </w:t>
      </w:r>
      <w:r w:rsidR="00B43831" w:rsidRPr="000202F1">
        <w:rPr>
          <w:rFonts w:ascii="Book Antiqua" w:hAnsi="Book Antiqua"/>
        </w:rPr>
        <w:t xml:space="preserve">el mismo fue conocido por </w:t>
      </w:r>
      <w:r w:rsidRPr="000202F1">
        <w:rPr>
          <w:rFonts w:ascii="Book Antiqua" w:hAnsi="Book Antiqua"/>
        </w:rPr>
        <w:t xml:space="preserve">el Consejo Superior del Poder Judicial, en la </w:t>
      </w:r>
      <w:r w:rsidR="00B43831" w:rsidRPr="000202F1">
        <w:rPr>
          <w:rFonts w:ascii="Book Antiqua" w:hAnsi="Book Antiqua"/>
        </w:rPr>
        <w:t>sesión 94</w:t>
      </w:r>
      <w:r w:rsidRPr="000202F1">
        <w:rPr>
          <w:rFonts w:ascii="Book Antiqua" w:hAnsi="Book Antiqua"/>
        </w:rPr>
        <w:t>-17 celebrada el 12 de octubre del 2017</w:t>
      </w:r>
      <w:r w:rsidR="00B43831" w:rsidRPr="000202F1">
        <w:rPr>
          <w:rFonts w:ascii="Book Antiqua" w:hAnsi="Book Antiqua"/>
        </w:rPr>
        <w:t xml:space="preserve">, </w:t>
      </w:r>
      <w:r w:rsidRPr="000202F1">
        <w:rPr>
          <w:rFonts w:ascii="Book Antiqua" w:hAnsi="Book Antiqua"/>
        </w:rPr>
        <w:t xml:space="preserve">artículo LV. </w:t>
      </w:r>
    </w:p>
    <w:p w14:paraId="6FA26818" w14:textId="77777777" w:rsidR="003B2B95" w:rsidRPr="000202F1" w:rsidRDefault="003B2B95" w:rsidP="003B2B95">
      <w:pPr>
        <w:pStyle w:val="Prrafodelista"/>
        <w:spacing w:after="0" w:line="240" w:lineRule="auto"/>
        <w:jc w:val="both"/>
        <w:rPr>
          <w:rFonts w:ascii="Book Antiqua" w:hAnsi="Book Antiqua"/>
        </w:rPr>
      </w:pPr>
    </w:p>
    <w:p w14:paraId="448064D1" w14:textId="2BBE1E78" w:rsidR="003B2B95" w:rsidRPr="000202F1" w:rsidRDefault="003B2B95" w:rsidP="009C259C">
      <w:pPr>
        <w:pStyle w:val="Prrafodelista"/>
        <w:numPr>
          <w:ilvl w:val="0"/>
          <w:numId w:val="9"/>
        </w:numPr>
        <w:spacing w:after="0" w:line="240" w:lineRule="auto"/>
        <w:jc w:val="both"/>
        <w:rPr>
          <w:rFonts w:ascii="Book Antiqua" w:hAnsi="Book Antiqua"/>
        </w:rPr>
      </w:pPr>
      <w:r w:rsidRPr="000202F1">
        <w:rPr>
          <w:rFonts w:ascii="Book Antiqua" w:hAnsi="Book Antiqua"/>
        </w:rPr>
        <w:t xml:space="preserve">Oficio 1626-PLA-2017 </w:t>
      </w:r>
      <w:r w:rsidR="00B43831" w:rsidRPr="000202F1">
        <w:rPr>
          <w:rFonts w:ascii="Book Antiqua" w:hAnsi="Book Antiqua"/>
        </w:rPr>
        <w:t xml:space="preserve">de la Dirección de Planificación  mediante el cual </w:t>
      </w:r>
      <w:r w:rsidRPr="000202F1">
        <w:rPr>
          <w:rFonts w:ascii="Book Antiqua" w:hAnsi="Book Antiqua"/>
        </w:rPr>
        <w:t>se remitió el informe 222-MI-2017 relacionado con el proyecto realizado en la Sección Civil y Laboral del Tribunal de Juicio del Primer Circuito Judicial de Zona Sur, sección que conforma el actual Tribunal de Apelación Civil y Trabajo del Primer Circuito Judicial de Zona Sur, en el marco de la Reforma al Código de Trabajo</w:t>
      </w:r>
      <w:r w:rsidR="00B43831" w:rsidRPr="000202F1">
        <w:rPr>
          <w:rFonts w:ascii="Book Antiqua" w:hAnsi="Book Antiqua"/>
        </w:rPr>
        <w:t xml:space="preserve">, conocido </w:t>
      </w:r>
      <w:r w:rsidRPr="000202F1">
        <w:rPr>
          <w:rFonts w:ascii="Book Antiqua" w:hAnsi="Book Antiqua"/>
        </w:rPr>
        <w:t xml:space="preserve">por el Consejo Superior del Poder Judicial, en la sesión 102-17 celebrada el 9 de noviembre del 2017, artículo XC. </w:t>
      </w:r>
    </w:p>
    <w:p w14:paraId="0CA888C2" w14:textId="77777777" w:rsidR="003B2B95" w:rsidRPr="000202F1" w:rsidRDefault="003B2B95" w:rsidP="003B2B95">
      <w:pPr>
        <w:pStyle w:val="Prrafodelista"/>
        <w:rPr>
          <w:rFonts w:ascii="Book Antiqua" w:hAnsi="Book Antiqua"/>
        </w:rPr>
      </w:pPr>
    </w:p>
    <w:p w14:paraId="3893445B" w14:textId="27386E10" w:rsidR="003B2B95" w:rsidRPr="000202F1" w:rsidRDefault="003B2B95" w:rsidP="009C259C">
      <w:pPr>
        <w:pStyle w:val="Prrafodelista"/>
        <w:numPr>
          <w:ilvl w:val="0"/>
          <w:numId w:val="9"/>
        </w:numPr>
        <w:spacing w:after="0" w:line="240" w:lineRule="auto"/>
        <w:jc w:val="both"/>
        <w:rPr>
          <w:rFonts w:ascii="Book Antiqua" w:hAnsi="Book Antiqua"/>
        </w:rPr>
      </w:pPr>
      <w:r w:rsidRPr="000202F1">
        <w:rPr>
          <w:rFonts w:ascii="Book Antiqua" w:hAnsi="Book Antiqua"/>
        </w:rPr>
        <w:t>Oficio</w:t>
      </w:r>
      <w:r w:rsidR="00B43831" w:rsidRPr="000202F1">
        <w:rPr>
          <w:rFonts w:ascii="Book Antiqua" w:hAnsi="Book Antiqua"/>
        </w:rPr>
        <w:t xml:space="preserve"> </w:t>
      </w:r>
      <w:r w:rsidRPr="000202F1">
        <w:rPr>
          <w:rFonts w:ascii="Book Antiqua" w:hAnsi="Book Antiqua"/>
        </w:rPr>
        <w:t xml:space="preserve">1637-PLA-2017 </w:t>
      </w:r>
      <w:r w:rsidR="00B43831" w:rsidRPr="000202F1">
        <w:rPr>
          <w:rFonts w:ascii="Book Antiqua" w:hAnsi="Book Antiqua"/>
        </w:rPr>
        <w:t xml:space="preserve">de la Dirección de Planificación  en el que se remitió el </w:t>
      </w:r>
      <w:r w:rsidRPr="000202F1">
        <w:rPr>
          <w:rFonts w:ascii="Book Antiqua" w:hAnsi="Book Antiqua"/>
        </w:rPr>
        <w:t xml:space="preserve">informe 229-MI-2017, relacionado con el proyecto realizado en la Sección Civil y de Trabajo del Tribunal de Juicio del Primer Circuito Judicial de la Zona Atlántica, actual Tribunal de Apelaciones Civil y de Trabajo del Primer Circuito Judicial de la Zona Atlántica en el Marco de la Reforma al Código de Trabajo, </w:t>
      </w:r>
      <w:r w:rsidR="00B43831" w:rsidRPr="000202F1">
        <w:rPr>
          <w:rFonts w:ascii="Book Antiqua" w:hAnsi="Book Antiqua"/>
        </w:rPr>
        <w:t xml:space="preserve">conocido mediante </w:t>
      </w:r>
      <w:r w:rsidRPr="000202F1">
        <w:rPr>
          <w:rFonts w:ascii="Book Antiqua" w:hAnsi="Book Antiqua"/>
        </w:rPr>
        <w:lastRenderedPageBreak/>
        <w:t xml:space="preserve">acuerdo </w:t>
      </w:r>
      <w:r w:rsidR="00B43831" w:rsidRPr="000202F1">
        <w:rPr>
          <w:rFonts w:ascii="Book Antiqua" w:hAnsi="Book Antiqua"/>
        </w:rPr>
        <w:t>d</w:t>
      </w:r>
      <w:r w:rsidRPr="000202F1">
        <w:rPr>
          <w:rFonts w:ascii="Book Antiqua" w:hAnsi="Book Antiqua"/>
        </w:rPr>
        <w:t xml:space="preserve">el </w:t>
      </w:r>
      <w:smartTag w:uri="urn:schemas-microsoft-com:office:smarttags" w:element="City">
        <w:r w:rsidRPr="000202F1">
          <w:rPr>
            <w:rFonts w:ascii="Book Antiqua" w:hAnsi="Book Antiqua"/>
          </w:rPr>
          <w:t>Consejo Superior del Poder Judicial</w:t>
        </w:r>
      </w:smartTag>
      <w:r w:rsidRPr="000202F1">
        <w:rPr>
          <w:rFonts w:ascii="Book Antiqua" w:hAnsi="Book Antiqua"/>
        </w:rPr>
        <w:t xml:space="preserve">, en la sesión 102-17 celebrada el 9 de noviembre del 2017, artículo XCI. </w:t>
      </w:r>
    </w:p>
    <w:p w14:paraId="439A72C3" w14:textId="77777777" w:rsidR="003B2B95" w:rsidRPr="000202F1" w:rsidRDefault="003B2B95" w:rsidP="003B2B95">
      <w:pPr>
        <w:spacing w:after="0" w:line="240" w:lineRule="auto"/>
        <w:jc w:val="both"/>
        <w:rPr>
          <w:rFonts w:ascii="Book Antiqua" w:hAnsi="Book Antiqua"/>
        </w:rPr>
      </w:pPr>
    </w:p>
    <w:p w14:paraId="17316DFF" w14:textId="0778BA2F" w:rsidR="003B2B95" w:rsidRPr="000202F1" w:rsidRDefault="003B2B95" w:rsidP="009C259C">
      <w:pPr>
        <w:pStyle w:val="Prrafodelista"/>
        <w:numPr>
          <w:ilvl w:val="0"/>
          <w:numId w:val="9"/>
        </w:numPr>
        <w:spacing w:after="0" w:line="240" w:lineRule="auto"/>
        <w:jc w:val="both"/>
        <w:rPr>
          <w:rFonts w:ascii="Book Antiqua" w:hAnsi="Book Antiqua"/>
        </w:rPr>
      </w:pPr>
      <w:r w:rsidRPr="000202F1">
        <w:rPr>
          <w:rFonts w:ascii="Book Antiqua" w:hAnsi="Book Antiqua"/>
        </w:rPr>
        <w:t>Oficio 1647-PLA-2017</w:t>
      </w:r>
      <w:r w:rsidR="00B43831" w:rsidRPr="000202F1">
        <w:rPr>
          <w:rFonts w:ascii="Book Antiqua" w:hAnsi="Book Antiqua"/>
        </w:rPr>
        <w:t xml:space="preserve"> de la Dirección de Planificación en el que se remitió el informe</w:t>
      </w:r>
      <w:r w:rsidRPr="000202F1">
        <w:rPr>
          <w:rFonts w:ascii="Book Antiqua" w:hAnsi="Book Antiqua"/>
        </w:rPr>
        <w:t xml:space="preserve"> 232-MI-2017</w:t>
      </w:r>
      <w:r w:rsidR="00B43831" w:rsidRPr="000202F1">
        <w:rPr>
          <w:rFonts w:ascii="Book Antiqua" w:hAnsi="Book Antiqua"/>
        </w:rPr>
        <w:t xml:space="preserve"> </w:t>
      </w:r>
      <w:r w:rsidRPr="000202F1">
        <w:rPr>
          <w:rFonts w:ascii="Book Antiqua" w:hAnsi="Book Antiqua"/>
        </w:rPr>
        <w:t>relacionado con el proyecto realizado en el Tribunal de Juicio de Heredia, actual Tribunal de Apelación Civil y Trabajo del Circuito de Heredia en el marco de la Reforma al Código de Trabaj</w:t>
      </w:r>
      <w:r w:rsidR="00B43831" w:rsidRPr="000202F1">
        <w:rPr>
          <w:rFonts w:ascii="Book Antiqua" w:hAnsi="Book Antiqua"/>
        </w:rPr>
        <w:t>o,</w:t>
      </w:r>
      <w:r w:rsidRPr="000202F1">
        <w:rPr>
          <w:rFonts w:ascii="Book Antiqua" w:hAnsi="Book Antiqua"/>
        </w:rPr>
        <w:t xml:space="preserve"> conocido mediante acuerdo tomado por el Consejo Superior del Poder Judicial, en la sesión 103-17 celebrada el 14 de noviembre del 2017artículo LXXII.</w:t>
      </w:r>
    </w:p>
    <w:p w14:paraId="5E558A3B" w14:textId="77777777" w:rsidR="003B2B95" w:rsidRPr="000202F1" w:rsidRDefault="003B2B95" w:rsidP="003B2B95">
      <w:pPr>
        <w:pStyle w:val="Prrafodelista"/>
        <w:spacing w:after="0" w:line="240" w:lineRule="auto"/>
        <w:jc w:val="both"/>
        <w:rPr>
          <w:rFonts w:ascii="Book Antiqua" w:hAnsi="Book Antiqua"/>
        </w:rPr>
      </w:pPr>
    </w:p>
    <w:p w14:paraId="12A4D4ED" w14:textId="32D1542A" w:rsidR="003B2B95" w:rsidRPr="000202F1" w:rsidRDefault="003B2B95" w:rsidP="009C259C">
      <w:pPr>
        <w:pStyle w:val="Prrafodelista"/>
        <w:numPr>
          <w:ilvl w:val="0"/>
          <w:numId w:val="9"/>
        </w:numPr>
        <w:spacing w:after="0" w:line="240" w:lineRule="auto"/>
        <w:jc w:val="both"/>
        <w:rPr>
          <w:rFonts w:ascii="Book Antiqua" w:hAnsi="Book Antiqua"/>
        </w:rPr>
      </w:pPr>
      <w:r w:rsidRPr="000202F1">
        <w:rPr>
          <w:rFonts w:ascii="Book Antiqua" w:hAnsi="Book Antiqua"/>
        </w:rPr>
        <w:t xml:space="preserve">Oficio 1650-PLA-2017 </w:t>
      </w:r>
      <w:r w:rsidR="00B43831" w:rsidRPr="000202F1">
        <w:rPr>
          <w:rFonts w:ascii="Book Antiqua" w:hAnsi="Book Antiqua"/>
        </w:rPr>
        <w:t xml:space="preserve">de la Dirección de </w:t>
      </w:r>
      <w:r w:rsidR="00D03BE4" w:rsidRPr="000202F1">
        <w:rPr>
          <w:rFonts w:ascii="Book Antiqua" w:hAnsi="Book Antiqua"/>
        </w:rPr>
        <w:t>Planificación en</w:t>
      </w:r>
      <w:r w:rsidR="00B43831" w:rsidRPr="000202F1">
        <w:rPr>
          <w:rFonts w:ascii="Book Antiqua" w:hAnsi="Book Antiqua"/>
        </w:rPr>
        <w:t xml:space="preserve"> el que se remitió el informe </w:t>
      </w:r>
      <w:r w:rsidRPr="000202F1">
        <w:rPr>
          <w:rFonts w:ascii="Book Antiqua" w:hAnsi="Book Antiqua"/>
        </w:rPr>
        <w:t>233-MI-2017</w:t>
      </w:r>
      <w:r w:rsidR="00D03BE4" w:rsidRPr="000202F1">
        <w:rPr>
          <w:rFonts w:ascii="Book Antiqua" w:hAnsi="Book Antiqua"/>
        </w:rPr>
        <w:t xml:space="preserve"> </w:t>
      </w:r>
      <w:r w:rsidRPr="000202F1">
        <w:rPr>
          <w:rFonts w:ascii="Book Antiqua" w:hAnsi="Book Antiqua"/>
        </w:rPr>
        <w:t xml:space="preserve">relacionado con el informe del proyecto realizado en el Tribunal de Apelación de Civil y Trabajo del Circuito Judicial de Puntarenas, el cual fue conocido mediante acuerdo tomado por el Consejo Superior del Poder Judicial, en la sesión 104-17 celebrada el 16 de noviembre del 2017, artículo XLIV. </w:t>
      </w:r>
    </w:p>
    <w:p w14:paraId="58893341" w14:textId="77777777" w:rsidR="003B2B95" w:rsidRPr="000202F1" w:rsidRDefault="003B2B95" w:rsidP="003B2B95">
      <w:pPr>
        <w:pStyle w:val="Prrafodelista"/>
        <w:rPr>
          <w:rFonts w:ascii="Book Antiqua" w:hAnsi="Book Antiqua"/>
        </w:rPr>
      </w:pPr>
    </w:p>
    <w:p w14:paraId="2280366E" w14:textId="4EC15078" w:rsidR="003B2B95" w:rsidRPr="000202F1" w:rsidRDefault="003B2B95" w:rsidP="009C259C">
      <w:pPr>
        <w:pStyle w:val="Prrafodelista"/>
        <w:numPr>
          <w:ilvl w:val="0"/>
          <w:numId w:val="9"/>
        </w:numPr>
        <w:spacing w:after="0" w:line="240" w:lineRule="auto"/>
        <w:jc w:val="both"/>
        <w:rPr>
          <w:rFonts w:ascii="Book Antiqua" w:hAnsi="Book Antiqua"/>
        </w:rPr>
      </w:pPr>
      <w:r w:rsidRPr="000202F1">
        <w:rPr>
          <w:rFonts w:ascii="Book Antiqua" w:hAnsi="Book Antiqua"/>
        </w:rPr>
        <w:t xml:space="preserve">Oficio 1723-PLA-2017 </w:t>
      </w:r>
      <w:r w:rsidR="00D03BE4" w:rsidRPr="000202F1">
        <w:rPr>
          <w:rFonts w:ascii="Book Antiqua" w:hAnsi="Book Antiqua"/>
        </w:rPr>
        <w:t xml:space="preserve">de la Dirección de Planificación  en el que se remitió el informe </w:t>
      </w:r>
      <w:r w:rsidRPr="000202F1">
        <w:rPr>
          <w:rFonts w:ascii="Book Antiqua" w:hAnsi="Book Antiqua"/>
        </w:rPr>
        <w:t>250-MI-2017</w:t>
      </w:r>
      <w:r w:rsidR="00D03BE4" w:rsidRPr="000202F1">
        <w:rPr>
          <w:rFonts w:ascii="Book Antiqua" w:hAnsi="Book Antiqua"/>
        </w:rPr>
        <w:t xml:space="preserve"> </w:t>
      </w:r>
      <w:r w:rsidRPr="000202F1">
        <w:rPr>
          <w:rFonts w:ascii="Book Antiqua" w:hAnsi="Book Antiqua"/>
        </w:rPr>
        <w:t xml:space="preserve">relacionado con el análisis realizado a la entonces Sección Civil y Trabajo del Tribunal de Juicio del Primer Circuito Judicial de Guanacaste, actual Tribunal de Apelaciones del Primer Circuito Judicial de Guanacaste (Liberia) en el marco de la Reforma al Código de Trabajo, </w:t>
      </w:r>
      <w:r w:rsidR="00D03BE4" w:rsidRPr="000202F1">
        <w:rPr>
          <w:rFonts w:ascii="Book Antiqua" w:hAnsi="Book Antiqua"/>
        </w:rPr>
        <w:t xml:space="preserve">mismo conocido en </w:t>
      </w:r>
      <w:r w:rsidRPr="000202F1">
        <w:rPr>
          <w:rFonts w:ascii="Book Antiqua" w:hAnsi="Book Antiqua"/>
        </w:rPr>
        <w:t xml:space="preserve">acuerdo tomado por el Consejo Superior del Poder Judicial, </w:t>
      </w:r>
      <w:r w:rsidR="00D03BE4" w:rsidRPr="000202F1">
        <w:rPr>
          <w:rFonts w:ascii="Book Antiqua" w:hAnsi="Book Antiqua"/>
        </w:rPr>
        <w:t>de</w:t>
      </w:r>
      <w:r w:rsidRPr="000202F1">
        <w:rPr>
          <w:rFonts w:ascii="Book Antiqua" w:hAnsi="Book Antiqua"/>
        </w:rPr>
        <w:t xml:space="preserve"> la sesión 110-17 celebrada el 7 de diciembre del 2017, artículo LXXVIII. </w:t>
      </w:r>
    </w:p>
    <w:p w14:paraId="43AE8C8C" w14:textId="77777777" w:rsidR="003B2B95" w:rsidRPr="00410CC9" w:rsidRDefault="003B2B95" w:rsidP="00CE0BDE">
      <w:pPr>
        <w:rPr>
          <w:rFonts w:ascii="Calibri" w:hAnsi="Calibri" w:cs="Times New Roman"/>
        </w:rPr>
      </w:pPr>
    </w:p>
    <w:p w14:paraId="10423A4B" w14:textId="32EA5410" w:rsidR="003E27F5" w:rsidRPr="002605B0" w:rsidRDefault="00A71672" w:rsidP="009C259C">
      <w:pPr>
        <w:pStyle w:val="Prrafodelista"/>
        <w:numPr>
          <w:ilvl w:val="0"/>
          <w:numId w:val="9"/>
        </w:numPr>
        <w:jc w:val="both"/>
        <w:rPr>
          <w:rFonts w:ascii="Book Antiqua" w:hAnsi="Book Antiqua" w:cs="Book Antiqua"/>
        </w:rPr>
      </w:pPr>
      <w:r w:rsidRPr="002605B0">
        <w:rPr>
          <w:rFonts w:ascii="Book Antiqua" w:hAnsi="Book Antiqua" w:cs="Book Antiqua"/>
          <w:snapToGrid w:val="0"/>
        </w:rPr>
        <w:t xml:space="preserve">La Dirección de Planificación remitió el oficio </w:t>
      </w:r>
      <w:r w:rsidR="00581F04" w:rsidRPr="002605B0">
        <w:rPr>
          <w:rFonts w:ascii="Book Antiqua" w:hAnsi="Book Antiqua" w:cs="Book Antiqua"/>
          <w:snapToGrid w:val="0"/>
        </w:rPr>
        <w:t>1799-PLA-201</w:t>
      </w:r>
      <w:r w:rsidR="00726633" w:rsidRPr="002605B0">
        <w:rPr>
          <w:rFonts w:ascii="Book Antiqua" w:hAnsi="Book Antiqua" w:cs="Book Antiqua"/>
          <w:snapToGrid w:val="0"/>
        </w:rPr>
        <w:t>7</w:t>
      </w:r>
      <w:r w:rsidR="00D115D6" w:rsidRPr="002605B0">
        <w:rPr>
          <w:rFonts w:ascii="Book Antiqua" w:hAnsi="Book Antiqua" w:cs="Book Antiqua"/>
          <w:snapToGrid w:val="0"/>
        </w:rPr>
        <w:t xml:space="preserve"> </w:t>
      </w:r>
      <w:r w:rsidR="00726633" w:rsidRPr="002605B0">
        <w:rPr>
          <w:rFonts w:ascii="Book Antiqua" w:hAnsi="Book Antiqua" w:cs="Book Antiqua"/>
        </w:rPr>
        <w:t xml:space="preserve">relacionado con </w:t>
      </w:r>
      <w:r w:rsidR="00726633" w:rsidRPr="002605B0">
        <w:rPr>
          <w:rFonts w:ascii="Book Antiqua" w:hAnsi="Book Antiqua"/>
        </w:rPr>
        <w:t>las cuotas de trabajo para los Tribunales de Apelación en materia Civil y Trabajo</w:t>
      </w:r>
      <w:r w:rsidR="00DB3935" w:rsidRPr="002605B0">
        <w:rPr>
          <w:rFonts w:ascii="Book Antiqua" w:hAnsi="Book Antiqua" w:cs="Book Antiqua"/>
        </w:rPr>
        <w:t xml:space="preserve"> a la Licenciada Maricruz Chacón Cubillo, Directora a.i. Centro de Apoyo, Coordinación y Mejoramiento de la Función Jurisdiccional</w:t>
      </w:r>
      <w:r w:rsidR="00E02E54">
        <w:rPr>
          <w:rFonts w:ascii="Book Antiqua" w:hAnsi="Book Antiqua" w:cs="Book Antiqua"/>
        </w:rPr>
        <w:t>.</w:t>
      </w:r>
    </w:p>
    <w:p w14:paraId="2EB2DE2A" w14:textId="1FEDF162" w:rsidR="00361903" w:rsidRPr="002605B0" w:rsidRDefault="00361903" w:rsidP="002605B0">
      <w:pPr>
        <w:pStyle w:val="Prrafodelista"/>
        <w:jc w:val="both"/>
        <w:rPr>
          <w:rFonts w:ascii="Book Antiqua" w:hAnsi="Book Antiqua" w:cs="Book Antiqua"/>
        </w:rPr>
      </w:pPr>
    </w:p>
    <w:p w14:paraId="4725BBFE" w14:textId="20612A4A" w:rsidR="00DD7D88" w:rsidRPr="002605B0" w:rsidRDefault="009F4953" w:rsidP="009C259C">
      <w:pPr>
        <w:pStyle w:val="Prrafodelista"/>
        <w:numPr>
          <w:ilvl w:val="0"/>
          <w:numId w:val="9"/>
        </w:numPr>
        <w:jc w:val="both"/>
        <w:rPr>
          <w:rFonts w:ascii="Book Antiqua" w:hAnsi="Book Antiqua" w:cs="Book Antiqua"/>
        </w:rPr>
      </w:pPr>
      <w:r w:rsidRPr="002605B0">
        <w:rPr>
          <w:rFonts w:ascii="Book Antiqua" w:hAnsi="Book Antiqua" w:cs="Book Antiqua"/>
          <w:snapToGrid w:val="0"/>
        </w:rPr>
        <w:t>Oficio 1970-PLA-2017</w:t>
      </w:r>
      <w:r w:rsidR="00230590" w:rsidRPr="002605B0">
        <w:rPr>
          <w:rFonts w:ascii="Book Antiqua" w:hAnsi="Book Antiqua" w:cs="Book Antiqua"/>
          <w:snapToGrid w:val="0"/>
        </w:rPr>
        <w:t xml:space="preserve"> realizado por la Dirección de Planificación</w:t>
      </w:r>
      <w:r w:rsidR="00C41A4C" w:rsidRPr="002605B0">
        <w:rPr>
          <w:rFonts w:ascii="Book Antiqua" w:hAnsi="Book Antiqua" w:cs="Book Antiqua"/>
          <w:snapToGrid w:val="0"/>
        </w:rPr>
        <w:t xml:space="preserve">, </w:t>
      </w:r>
      <w:r w:rsidR="00C41A4C" w:rsidRPr="002605B0">
        <w:rPr>
          <w:rFonts w:ascii="Book Antiqua" w:hAnsi="Book Antiqua" w:cs="Book Antiqua"/>
        </w:rPr>
        <w:t xml:space="preserve">en atención </w:t>
      </w:r>
      <w:r w:rsidR="0067793A" w:rsidRPr="002605B0">
        <w:rPr>
          <w:rFonts w:ascii="Book Antiqua" w:hAnsi="Book Antiqua" w:cs="Book Antiqua"/>
        </w:rPr>
        <w:t>al</w:t>
      </w:r>
      <w:r w:rsidR="00C41A4C" w:rsidRPr="002605B0">
        <w:rPr>
          <w:rFonts w:ascii="Book Antiqua" w:hAnsi="Book Antiqua" w:cs="Book Antiqua"/>
        </w:rPr>
        <w:t xml:space="preserve"> </w:t>
      </w:r>
      <w:r w:rsidR="00C41A4C" w:rsidRPr="002605B0">
        <w:rPr>
          <w:rFonts w:ascii="Book Antiqua" w:hAnsi="Book Antiqua" w:cs="Book Antiqua"/>
          <w:snapToGrid w:val="0"/>
        </w:rPr>
        <w:t>oficio 406-CACMFJ-JEF-2017</w:t>
      </w:r>
      <w:r w:rsidR="0067793A" w:rsidRPr="002605B0">
        <w:rPr>
          <w:rFonts w:ascii="Book Antiqua" w:hAnsi="Book Antiqua" w:cs="Book Antiqua"/>
          <w:snapToGrid w:val="0"/>
        </w:rPr>
        <w:t>,</w:t>
      </w:r>
      <w:r w:rsidR="00C41A4C" w:rsidRPr="002605B0">
        <w:rPr>
          <w:rFonts w:ascii="Book Antiqua" w:hAnsi="Book Antiqua" w:cs="Book Antiqua"/>
          <w:snapToGrid w:val="0"/>
        </w:rPr>
        <w:t xml:space="preserve"> </w:t>
      </w:r>
      <w:r w:rsidR="00B72004" w:rsidRPr="002605B0">
        <w:rPr>
          <w:rFonts w:ascii="Book Antiqua" w:hAnsi="Book Antiqua"/>
        </w:rPr>
        <w:t>remitido por el Centro de Apoyo, Coordinación y Mejoramiento de la Función Jurisdiccional (CACMFJ), mediante el que solicita aclaraciones respecto al informe 1799-PLA-2017 de la Dirección de Planificación</w:t>
      </w:r>
      <w:r w:rsidR="00C41A4C" w:rsidRPr="002605B0">
        <w:rPr>
          <w:rFonts w:ascii="Book Antiqua" w:hAnsi="Book Antiqua" w:cs="Book Antiqua"/>
        </w:rPr>
        <w:t xml:space="preserve">, relacionado con </w:t>
      </w:r>
      <w:r w:rsidR="00C41A4C" w:rsidRPr="002605B0">
        <w:rPr>
          <w:rFonts w:ascii="Book Antiqua" w:hAnsi="Book Antiqua"/>
        </w:rPr>
        <w:t>las cuotas de trabajo para los Tribunales de Apelación en materia Civil y Trabajo</w:t>
      </w:r>
      <w:r w:rsidR="00C41A4C" w:rsidRPr="002605B0">
        <w:rPr>
          <w:rFonts w:ascii="Book Antiqua" w:hAnsi="Book Antiqua" w:cs="Book Antiqua"/>
        </w:rPr>
        <w:t>.</w:t>
      </w:r>
      <w:r w:rsidR="00B72004" w:rsidRPr="002605B0">
        <w:rPr>
          <w:rFonts w:ascii="Book Antiqua" w:hAnsi="Book Antiqua" w:cs="Book Antiqua"/>
        </w:rPr>
        <w:t xml:space="preserve"> </w:t>
      </w:r>
    </w:p>
    <w:p w14:paraId="0DA9DF69" w14:textId="77777777" w:rsidR="00DD7D88" w:rsidRPr="002605B0" w:rsidRDefault="00DD7D88" w:rsidP="002605B0">
      <w:pPr>
        <w:pStyle w:val="Prrafodelista"/>
        <w:rPr>
          <w:rFonts w:ascii="Book Antiqua" w:hAnsi="Book Antiqua" w:cs="Book Antiqua"/>
        </w:rPr>
      </w:pPr>
    </w:p>
    <w:p w14:paraId="0CA63E4E" w14:textId="1BD7A1CD" w:rsidR="00925B77" w:rsidRPr="002605B0" w:rsidRDefault="00F14B66" w:rsidP="009C259C">
      <w:pPr>
        <w:pStyle w:val="Prrafodelista"/>
        <w:numPr>
          <w:ilvl w:val="0"/>
          <w:numId w:val="9"/>
        </w:numPr>
        <w:jc w:val="both"/>
        <w:rPr>
          <w:rFonts w:ascii="Book Antiqua" w:hAnsi="Book Antiqua" w:cs="Book Antiqua"/>
        </w:rPr>
      </w:pPr>
      <w:r w:rsidRPr="002605B0">
        <w:rPr>
          <w:rFonts w:ascii="Book Antiqua" w:hAnsi="Book Antiqua"/>
        </w:rPr>
        <w:t>Acuerdo tomado por el</w:t>
      </w:r>
      <w:r w:rsidR="00B72004" w:rsidRPr="002605B0">
        <w:rPr>
          <w:rFonts w:ascii="Book Antiqua" w:hAnsi="Book Antiqua"/>
        </w:rPr>
        <w:t xml:space="preserve"> Consejo Superior en </w:t>
      </w:r>
      <w:r w:rsidR="00DB4EEE" w:rsidRPr="002605B0">
        <w:rPr>
          <w:rFonts w:ascii="Book Antiqua" w:hAnsi="Book Antiqua"/>
        </w:rPr>
        <w:t>sesión 40-2018, del 11 de mayo del 2018, artículo XXXVII</w:t>
      </w:r>
      <w:r w:rsidRPr="002605B0">
        <w:rPr>
          <w:rFonts w:ascii="Book Antiqua" w:hAnsi="Book Antiqua"/>
        </w:rPr>
        <w:t>,</w:t>
      </w:r>
      <w:r w:rsidR="00DB4EEE" w:rsidRPr="002605B0">
        <w:rPr>
          <w:rFonts w:ascii="Book Antiqua" w:hAnsi="Book Antiqua"/>
        </w:rPr>
        <w:t xml:space="preserve"> </w:t>
      </w:r>
      <w:r w:rsidRPr="002605B0">
        <w:rPr>
          <w:rFonts w:ascii="Book Antiqua" w:hAnsi="Book Antiqua"/>
        </w:rPr>
        <w:t xml:space="preserve">en el cual se conoció el informe </w:t>
      </w:r>
      <w:r w:rsidR="00AE0B4E" w:rsidRPr="002605B0">
        <w:rPr>
          <w:rFonts w:ascii="Book Antiqua" w:hAnsi="Book Antiqua"/>
        </w:rPr>
        <w:t>152-CACMFJ-JEF-2018</w:t>
      </w:r>
      <w:r w:rsidRPr="002605B0">
        <w:rPr>
          <w:rFonts w:ascii="Book Antiqua" w:hAnsi="Book Antiqua"/>
        </w:rPr>
        <w:t xml:space="preserve"> </w:t>
      </w:r>
      <w:r w:rsidR="00AE0B4E" w:rsidRPr="002605B0">
        <w:rPr>
          <w:rFonts w:ascii="Book Antiqua" w:hAnsi="Book Antiqua"/>
        </w:rPr>
        <w:t>remitido por el</w:t>
      </w:r>
      <w:r w:rsidRPr="002605B0">
        <w:rPr>
          <w:rFonts w:ascii="Book Antiqua" w:hAnsi="Book Antiqua"/>
        </w:rPr>
        <w:t xml:space="preserve"> Centro de Apoyo, Coordinación y Mejoramiento de la Función Jurisdiccional (CACMFJ),</w:t>
      </w:r>
      <w:r w:rsidR="00925B77" w:rsidRPr="002605B0">
        <w:rPr>
          <w:rFonts w:ascii="Book Antiqua" w:hAnsi="Book Antiqua"/>
        </w:rPr>
        <w:t xml:space="preserve"> se acordó: </w:t>
      </w:r>
    </w:p>
    <w:p w14:paraId="196DDF2B" w14:textId="77777777" w:rsidR="00925B77" w:rsidRPr="002605B0" w:rsidRDefault="00925B77" w:rsidP="002605B0">
      <w:pPr>
        <w:pStyle w:val="Prrafodelista"/>
        <w:rPr>
          <w:rFonts w:ascii="Book Antiqua" w:hAnsi="Book Antiqua" w:cs="Book Antiqua"/>
        </w:rPr>
      </w:pPr>
    </w:p>
    <w:p w14:paraId="4DC0C9F8" w14:textId="081969DE" w:rsidR="00A72CC0" w:rsidRDefault="00361903" w:rsidP="00EE048F">
      <w:pPr>
        <w:autoSpaceDE w:val="0"/>
        <w:autoSpaceDN w:val="0"/>
        <w:adjustRightInd w:val="0"/>
        <w:spacing w:after="120" w:line="240" w:lineRule="auto"/>
        <w:ind w:left="1417" w:right="567"/>
        <w:jc w:val="both"/>
        <w:rPr>
          <w:rFonts w:ascii="Times New Roman" w:eastAsia="Times New Roman" w:hAnsi="Times New Roman" w:cs="Times New Roman"/>
          <w:i/>
          <w:iCs/>
          <w:lang w:eastAsia="es-CR"/>
        </w:rPr>
      </w:pPr>
      <w:r w:rsidRPr="002605B0">
        <w:rPr>
          <w:rFonts w:ascii="Times New Roman" w:eastAsia="Times New Roman" w:hAnsi="Times New Roman" w:cs="Times New Roman"/>
          <w:i/>
          <w:iCs/>
          <w:lang w:eastAsia="es-CR"/>
        </w:rPr>
        <w:lastRenderedPageBreak/>
        <w:t>“…</w:t>
      </w:r>
      <w:r w:rsidR="00925B77" w:rsidRPr="002605B0">
        <w:rPr>
          <w:rFonts w:ascii="Times New Roman" w:eastAsia="Times New Roman" w:hAnsi="Times New Roman" w:cs="Times New Roman"/>
          <w:i/>
          <w:iCs/>
          <w:lang w:eastAsia="es-CR"/>
        </w:rPr>
        <w:t>Instar a los Tribunales Civiles y de Trabajo especializados y los Tribunales Mixtos, a realizar como mínimo una votación por semana, de conformidad con lo acordado por este Consejo Superior en la sesión N 3-18, artículo L, celebrada el 16 de enero del 2018, mediante la cual se aprobó el informe 1943-PLA-2018, sin perjuicio de lo indicado en el artículo 167 del Código Procesal Civil. Ver Anexo 1. Deberán los Tribunales Segundo Civil de San José, al de Apelaciones Civil y Trabajo de Cartago y a los Tribunales de Apelaciones de Trabajo del Primer y Segundo Circuito Judicial de San José, continuar con la labor que vienen desempeñando; sin dejar de lado, el cumplimiento de las cuotas establecidas por la Dirección de Planificación. Comunicar a los Tribunales Primero Civil de San José y a los de Apelaciones Civil y Trabajo de Heredia, de la Zona Atlántica, Guanacaste, Alajuela, Puntarenas y la Zona Sur, cumplir con las cuotas establecidas por la Dirección de Planificación para lograr estabilizar al despacho. Solicitar a los Tribunales Civiles, a los Tribunales de Apelaciones en Materia Laboral y los Tribunales de Apelación Civil y de Trabajo Regionalizados, remitir los informes mensuales y los Indicadores al Centro de Apoyo Centro de Apoyo, Coordinación y Mejoramiento de la Función Jurisdiccional, conforme a las plantillas adjuntas.</w:t>
      </w:r>
      <w:r w:rsidRPr="002605B0">
        <w:rPr>
          <w:rFonts w:ascii="Times New Roman" w:eastAsia="Times New Roman" w:hAnsi="Times New Roman" w:cs="Times New Roman"/>
          <w:i/>
          <w:iCs/>
          <w:lang w:eastAsia="es-CR"/>
        </w:rPr>
        <w:t>”</w:t>
      </w:r>
      <w:r w:rsidR="00755F18">
        <w:rPr>
          <w:rFonts w:ascii="Times New Roman" w:eastAsia="Times New Roman" w:hAnsi="Times New Roman" w:cs="Times New Roman"/>
          <w:i/>
          <w:iCs/>
          <w:lang w:eastAsia="es-CR"/>
        </w:rPr>
        <w:t>.</w:t>
      </w:r>
    </w:p>
    <w:p w14:paraId="51FF0C31" w14:textId="77777777" w:rsidR="00755F18" w:rsidRDefault="00755F18" w:rsidP="00EE048F">
      <w:pPr>
        <w:autoSpaceDE w:val="0"/>
        <w:autoSpaceDN w:val="0"/>
        <w:adjustRightInd w:val="0"/>
        <w:spacing w:after="120" w:line="240" w:lineRule="auto"/>
        <w:ind w:left="1417" w:right="567"/>
        <w:jc w:val="both"/>
        <w:rPr>
          <w:rFonts w:ascii="Book Antiqua" w:hAnsi="Book Antiqua"/>
        </w:rPr>
      </w:pPr>
    </w:p>
    <w:p w14:paraId="39E70503" w14:textId="06069FBB" w:rsidR="00344C63" w:rsidRPr="00EE048F" w:rsidRDefault="00344C63" w:rsidP="009C259C">
      <w:pPr>
        <w:pStyle w:val="Prrafodelista"/>
        <w:numPr>
          <w:ilvl w:val="0"/>
          <w:numId w:val="22"/>
        </w:numPr>
        <w:jc w:val="both"/>
        <w:rPr>
          <w:rFonts w:ascii="Book Antiqua" w:hAnsi="Book Antiqua"/>
        </w:rPr>
      </w:pPr>
      <w:r>
        <w:rPr>
          <w:rFonts w:ascii="Book Antiqua" w:hAnsi="Book Antiqua"/>
        </w:rPr>
        <w:t>A</w:t>
      </w:r>
      <w:r w:rsidRPr="00344C63">
        <w:rPr>
          <w:rFonts w:ascii="Book Antiqua" w:hAnsi="Book Antiqua"/>
        </w:rPr>
        <w:t>cuerdo tomado por el Consejo Superior del Poder Judicial, en la sesión N° 30-19 celebrada el 2 de abril del 2019,</w:t>
      </w:r>
      <w:r>
        <w:rPr>
          <w:rFonts w:ascii="Book Antiqua" w:hAnsi="Book Antiqua"/>
        </w:rPr>
        <w:t xml:space="preserve"> artículo</w:t>
      </w:r>
      <w:r w:rsidRPr="00EE048F">
        <w:rPr>
          <w:rFonts w:ascii="Book Antiqua" w:hAnsi="Book Antiqua"/>
        </w:rPr>
        <w:t xml:space="preserve"> XLVI</w:t>
      </w:r>
      <w:r>
        <w:rPr>
          <w:rFonts w:ascii="Book Antiqua" w:hAnsi="Book Antiqua"/>
        </w:rPr>
        <w:t xml:space="preserve">, en el que se conoció el informe </w:t>
      </w:r>
      <w:r w:rsidRPr="00EE048F">
        <w:rPr>
          <w:rFonts w:ascii="Book Antiqua" w:hAnsi="Book Antiqua"/>
        </w:rPr>
        <w:t>400-PLA-EV-2019 de 20 de marzo de 2019</w:t>
      </w:r>
      <w:r>
        <w:rPr>
          <w:rFonts w:ascii="Book Antiqua" w:hAnsi="Book Antiqua"/>
        </w:rPr>
        <w:t xml:space="preserve">, relacionado con </w:t>
      </w:r>
      <w:r w:rsidRPr="00344C63">
        <w:rPr>
          <w:rFonts w:ascii="Book Antiqua" w:hAnsi="Book Antiqua"/>
        </w:rPr>
        <w:t xml:space="preserve">el seguimiento de la carga de trabajo en la Sala Segunda, los Tribunales de Apelación en Materia Civil y Laboral, posterior a la </w:t>
      </w:r>
      <w:r w:rsidR="00FE678B" w:rsidRPr="00344C63">
        <w:rPr>
          <w:rFonts w:ascii="Book Antiqua" w:hAnsi="Book Antiqua"/>
        </w:rPr>
        <w:t>entrada en vigor</w:t>
      </w:r>
      <w:r w:rsidRPr="00344C63">
        <w:rPr>
          <w:rFonts w:ascii="Book Antiqua" w:hAnsi="Book Antiqua"/>
        </w:rPr>
        <w:t xml:space="preserve"> de la Reforma Laboral</w:t>
      </w:r>
      <w:r w:rsidR="00FE678B">
        <w:rPr>
          <w:rFonts w:ascii="Book Antiqua" w:hAnsi="Book Antiqua"/>
        </w:rPr>
        <w:t xml:space="preserve">, se acordó: </w:t>
      </w:r>
    </w:p>
    <w:p w14:paraId="2489F15D" w14:textId="7201B505" w:rsidR="00344C63" w:rsidRDefault="00344C63" w:rsidP="005A4175">
      <w:pPr>
        <w:jc w:val="both"/>
        <w:rPr>
          <w:rFonts w:ascii="Book Antiqua" w:hAnsi="Book Antiqua"/>
        </w:rPr>
      </w:pPr>
    </w:p>
    <w:p w14:paraId="468A8849" w14:textId="676009B2" w:rsidR="00FE678B" w:rsidRDefault="00FE678B" w:rsidP="00EE048F">
      <w:pPr>
        <w:spacing w:after="120"/>
        <w:ind w:left="1417" w:right="567"/>
        <w:jc w:val="both"/>
        <w:rPr>
          <w:rFonts w:ascii="Book Antiqua" w:hAnsi="Book Antiqua"/>
          <w:i/>
          <w:iCs/>
        </w:rPr>
      </w:pPr>
      <w:r>
        <w:rPr>
          <w:rFonts w:ascii="Book Antiqua" w:hAnsi="Book Antiqua"/>
          <w:b/>
          <w:bCs/>
          <w:i/>
          <w:iCs/>
        </w:rPr>
        <w:t>“</w:t>
      </w:r>
      <w:r w:rsidRPr="00EE048F">
        <w:rPr>
          <w:rFonts w:ascii="Book Antiqua" w:hAnsi="Book Antiqua"/>
          <w:b/>
          <w:bCs/>
          <w:i/>
          <w:iCs/>
        </w:rPr>
        <w:t>1)</w:t>
      </w:r>
      <w:r w:rsidRPr="00EE048F">
        <w:rPr>
          <w:rFonts w:ascii="Book Antiqua" w:hAnsi="Book Antiqua"/>
          <w:i/>
          <w:iCs/>
        </w:rPr>
        <w:t xml:space="preserve"> Tener por rendido el informe N° 400-PLA-EV-2019 “seguimiento de la carga de trabajo en la Sala Segunda, los Tribunales de Apelación en Materia Civil y Laboral, posterior a la entrada en vigencia de la Reforma Laboral.”. </w:t>
      </w:r>
      <w:r w:rsidRPr="00EE048F">
        <w:rPr>
          <w:rFonts w:ascii="Book Antiqua" w:hAnsi="Book Antiqua"/>
          <w:b/>
          <w:bCs/>
          <w:i/>
          <w:iCs/>
        </w:rPr>
        <w:t xml:space="preserve">2) </w:t>
      </w:r>
      <w:r w:rsidRPr="00EE048F">
        <w:rPr>
          <w:rFonts w:ascii="Book Antiqua" w:hAnsi="Book Antiqua"/>
          <w:i/>
          <w:iCs/>
        </w:rPr>
        <w:t xml:space="preserve">Tomar nota de los elementos conclusivos a los que se arribó en el informe dentro de los Tribunales de Apelación y Sala Segunda como parte de la entrada en vigencia de la Reforma Procesal Laboral, a partir del 25 de julio del 2017. </w:t>
      </w:r>
      <w:r w:rsidRPr="00EE048F">
        <w:rPr>
          <w:rFonts w:ascii="Book Antiqua" w:hAnsi="Book Antiqua"/>
          <w:b/>
          <w:bCs/>
          <w:i/>
          <w:iCs/>
        </w:rPr>
        <w:t>3)</w:t>
      </w:r>
      <w:r w:rsidRPr="00EE048F">
        <w:rPr>
          <w:rFonts w:ascii="Book Antiqua" w:hAnsi="Book Antiqua"/>
          <w:i/>
          <w:iCs/>
        </w:rPr>
        <w:t xml:space="preserve"> Aprobar las recomendaciones dadas en el informe indicado, por consiguiente: </w:t>
      </w:r>
      <w:r w:rsidRPr="00EE048F">
        <w:rPr>
          <w:rFonts w:ascii="Book Antiqua" w:hAnsi="Book Antiqua"/>
          <w:b/>
          <w:bCs/>
          <w:i/>
          <w:iCs/>
        </w:rPr>
        <w:t>Los</w:t>
      </w:r>
      <w:r w:rsidRPr="00EE048F">
        <w:rPr>
          <w:rFonts w:ascii="Book Antiqua" w:hAnsi="Book Antiqua"/>
          <w:i/>
          <w:iCs/>
        </w:rPr>
        <w:t xml:space="preserve"> </w:t>
      </w:r>
      <w:r w:rsidRPr="00EE048F">
        <w:rPr>
          <w:rFonts w:ascii="Book Antiqua" w:hAnsi="Book Antiqua"/>
          <w:b/>
          <w:bCs/>
          <w:i/>
          <w:iCs/>
        </w:rPr>
        <w:t>Tribunales</w:t>
      </w:r>
      <w:r w:rsidRPr="00EE048F">
        <w:rPr>
          <w:rFonts w:ascii="Book Antiqua" w:hAnsi="Book Antiqua"/>
          <w:i/>
          <w:iCs/>
        </w:rPr>
        <w:t xml:space="preserve"> </w:t>
      </w:r>
      <w:r w:rsidRPr="00EE048F">
        <w:rPr>
          <w:rFonts w:ascii="Book Antiqua" w:hAnsi="Book Antiqua"/>
          <w:b/>
          <w:bCs/>
          <w:i/>
          <w:iCs/>
        </w:rPr>
        <w:t>de Apelación Civil y Laboral deberán:</w:t>
      </w:r>
      <w:r w:rsidRPr="00EE048F">
        <w:rPr>
          <w:rFonts w:ascii="Book Antiqua" w:hAnsi="Book Antiqua"/>
          <w:i/>
          <w:iCs/>
        </w:rPr>
        <w:t xml:space="preserve"> </w:t>
      </w:r>
      <w:r w:rsidRPr="00EE048F">
        <w:rPr>
          <w:rFonts w:ascii="Book Antiqua" w:hAnsi="Book Antiqua"/>
          <w:b/>
          <w:bCs/>
          <w:i/>
          <w:iCs/>
        </w:rPr>
        <w:t xml:space="preserve">a) </w:t>
      </w:r>
      <w:r w:rsidRPr="00EE048F">
        <w:rPr>
          <w:rFonts w:ascii="Book Antiqua" w:hAnsi="Book Antiqua"/>
          <w:i/>
          <w:iCs/>
        </w:rPr>
        <w:t xml:space="preserve">Acatar lo dispuesto en el acuerdo del Consejo Superior Nº 107-16 del 29 de noviembre 2016, artículo XLIX, relacionado con la sostenibilidad de los proyectos de rediseños de oficinas, siendo responsabilidad de cada despacho la generación mensual de los indicadores de gestión, la minuta de la reunión del equipo de mejora y el plan remedial que contenga las acciones a seguir dentro del proceso de mejora continua, que deben ser remitidos a la Administración Regional correspondiente, así como al Centro de Apoyo, Coordinación y Mejoramiento </w:t>
      </w:r>
      <w:r w:rsidRPr="00EE048F">
        <w:rPr>
          <w:rFonts w:ascii="Book Antiqua" w:hAnsi="Book Antiqua"/>
          <w:i/>
          <w:iCs/>
        </w:rPr>
        <w:lastRenderedPageBreak/>
        <w:t xml:space="preserve">de la Función Jurisdiccional y de análisis de los Consejos de Administración para que se tomen las medidas oportunas en relación a los rezagos que se puedan estar presentando en esta jurisdicción. Aunado a lo anterior, deberán cotejar la matriz de indicadores de gestión con los planes remediales establecidos durante las reuniones efectuadas con el equipo de mejora, a fin de controlar y garantizar que las medidas contenidas en estos planes remediales para los indicadores que se encuentran fuera de rango positivo estén surtiendo el efecto esperado dentro del plazo establecido, o en su lugar, se apliquen las medidas correctivas necesarias. </w:t>
      </w:r>
      <w:r w:rsidRPr="00EE048F">
        <w:rPr>
          <w:rFonts w:ascii="Book Antiqua" w:hAnsi="Book Antiqua"/>
          <w:b/>
          <w:bCs/>
          <w:i/>
          <w:iCs/>
        </w:rPr>
        <w:t xml:space="preserve">b) </w:t>
      </w:r>
      <w:r w:rsidRPr="00EE048F">
        <w:rPr>
          <w:rFonts w:ascii="Book Antiqua" w:hAnsi="Book Antiqua"/>
          <w:i/>
          <w:iCs/>
        </w:rPr>
        <w:t xml:space="preserve">Mantener actualizados los sistemas de información como Escritorio Virtual, Módulo de Pase a Fallo, Sistema de Gestión, Agenda Cronos, libros de pase a fallo, libros de sentencias, libro de votaciones y la herramienta de distribución de expedientes, ya que la información contenida en estos sistemas son insumo directo para la generación de estadísticas e indicadores de gestión y lo que no sea registrado dentro de los sistemas, no podrá ser sujeto de revisión ni medición, lo anterior de conformidad con las especificaciones dadas en el informe referido. </w:t>
      </w:r>
      <w:r w:rsidRPr="00EE048F">
        <w:rPr>
          <w:rFonts w:ascii="Book Antiqua" w:hAnsi="Book Antiqua"/>
          <w:b/>
          <w:bCs/>
          <w:i/>
          <w:iCs/>
        </w:rPr>
        <w:t xml:space="preserve">c) </w:t>
      </w:r>
      <w:r w:rsidRPr="00EE048F">
        <w:rPr>
          <w:rFonts w:ascii="Book Antiqua" w:hAnsi="Book Antiqua"/>
          <w:i/>
          <w:iCs/>
        </w:rPr>
        <w:t xml:space="preserve">Mantener los planes de trabajo, las recomendaciones, las estructuras de organización y distribución de las cargas de trabajo establecidas por la Dirección de Planificación, que fueron incorporadas en cada uno de los informes del Subproceso de Modernización Institucional y aprobados por el Consejo Superior, con el fin de poder reducir los plazos de respuesta a las personas usuarias de los procesos y los plazos de los trámites que deban de interponer dentro de los Tribunales de Apelación. </w:t>
      </w:r>
      <w:r w:rsidRPr="00EE048F">
        <w:rPr>
          <w:rFonts w:ascii="Book Antiqua" w:hAnsi="Book Antiqua"/>
          <w:b/>
          <w:bCs/>
          <w:i/>
          <w:iCs/>
        </w:rPr>
        <w:t xml:space="preserve">d) </w:t>
      </w:r>
      <w:r w:rsidRPr="00EE048F">
        <w:rPr>
          <w:rFonts w:ascii="Book Antiqua" w:hAnsi="Book Antiqua"/>
          <w:i/>
          <w:iCs/>
        </w:rPr>
        <w:t>Cumplir con las cargas de trabajo establecidas dentro de cada una de las matrices de indicadores de gestión de cada despacho. Lo anterior en procura de acortar los tiempos de respuesta para la persona usuaria.</w:t>
      </w:r>
      <w:r w:rsidR="006B22A7">
        <w:rPr>
          <w:rFonts w:ascii="Book Antiqua" w:hAnsi="Book Antiqua"/>
          <w:b/>
          <w:bCs/>
          <w:i/>
          <w:iCs/>
        </w:rPr>
        <w:t>..</w:t>
      </w:r>
      <w:r w:rsidRPr="00EE048F">
        <w:rPr>
          <w:rFonts w:ascii="Book Antiqua" w:hAnsi="Book Antiqua"/>
          <w:i/>
          <w:iCs/>
        </w:rPr>
        <w:t>.</w:t>
      </w:r>
      <w:r w:rsidR="00755F18">
        <w:rPr>
          <w:rFonts w:ascii="Book Antiqua" w:hAnsi="Book Antiqua"/>
          <w:i/>
          <w:iCs/>
        </w:rPr>
        <w:t>”.</w:t>
      </w:r>
    </w:p>
    <w:p w14:paraId="6A60E534" w14:textId="7A116F19" w:rsidR="0053269D" w:rsidRDefault="0053269D" w:rsidP="00EE048F">
      <w:pPr>
        <w:spacing w:after="120"/>
        <w:ind w:left="1417" w:right="567"/>
        <w:jc w:val="both"/>
        <w:rPr>
          <w:rFonts w:ascii="Book Antiqua" w:hAnsi="Book Antiqua"/>
          <w:i/>
          <w:iCs/>
        </w:rPr>
      </w:pPr>
    </w:p>
    <w:p w14:paraId="7504C26F" w14:textId="11C382AE" w:rsidR="0053269D" w:rsidRPr="00EB031E" w:rsidRDefault="0053269D" w:rsidP="0053269D">
      <w:pPr>
        <w:pStyle w:val="Prrafodelista"/>
        <w:numPr>
          <w:ilvl w:val="0"/>
          <w:numId w:val="32"/>
        </w:numPr>
        <w:spacing w:after="0" w:line="240" w:lineRule="auto"/>
        <w:jc w:val="both"/>
        <w:rPr>
          <w:rFonts w:ascii="Book Antiqua" w:hAnsi="Book Antiqua"/>
        </w:rPr>
      </w:pPr>
      <w:r>
        <w:rPr>
          <w:rFonts w:ascii="Book Antiqua" w:hAnsi="Book Antiqua"/>
          <w:color w:val="000000" w:themeColor="text1"/>
        </w:rPr>
        <w:t>A</w:t>
      </w:r>
      <w:r w:rsidRPr="00EB031E">
        <w:rPr>
          <w:rFonts w:ascii="Book Antiqua" w:hAnsi="Book Antiqua"/>
          <w:color w:val="000000" w:themeColor="text1"/>
        </w:rPr>
        <w:t xml:space="preserve">cuerdo tomado por la Corte Plena, en sesión N° 23-2021 celebrada el 07 de junio del 2021, artículo XXI, en la cual se conoció el informe 472-PLA-MI-2021 relacionado con relacionado con los nombramientos de Jueces 5 en materia Laboral y Civil, se acordó: </w:t>
      </w:r>
    </w:p>
    <w:p w14:paraId="14791AC4" w14:textId="77777777" w:rsidR="0053269D" w:rsidRPr="00EB031E" w:rsidRDefault="0053269D" w:rsidP="00EB031E">
      <w:pPr>
        <w:pStyle w:val="Prrafodelista"/>
        <w:spacing w:after="0" w:line="240" w:lineRule="auto"/>
        <w:jc w:val="both"/>
        <w:rPr>
          <w:rFonts w:ascii="Book Antiqua" w:hAnsi="Book Antiqua"/>
        </w:rPr>
      </w:pPr>
    </w:p>
    <w:p w14:paraId="52A41CC0" w14:textId="77777777" w:rsidR="0053269D" w:rsidRPr="003A6481" w:rsidRDefault="0053269D" w:rsidP="0053269D">
      <w:pPr>
        <w:spacing w:after="120" w:line="240" w:lineRule="auto"/>
        <w:ind w:left="1417" w:right="567"/>
        <w:jc w:val="both"/>
        <w:rPr>
          <w:rFonts w:ascii="Book Antiqua" w:hAnsi="Book Antiqua"/>
          <w:i/>
          <w:iCs/>
        </w:rPr>
      </w:pPr>
      <w:r w:rsidRPr="003A6481">
        <w:rPr>
          <w:rFonts w:ascii="Book Antiqua" w:hAnsi="Book Antiqua"/>
          <w:i/>
          <w:iCs/>
        </w:rPr>
        <w:t xml:space="preserve">“…2) No publicar el concurso de la plaza de jueza o juez 5 número 378749 del Tribunal de Apelación Civil y Trabajo Zona Atlántica (sede Limón), en su lugar reasignarla por lo que resta del 2021 y como plan de trabajo temporal a categoría de “Jueza o Juez tres” con competencia a nivel nacional, de forma que colabore con una cuota mínima 20 asuntos fallados por mes. Lo anterior para que colabore en el Juzgado de Trabajo del Segundo Circuito Judicial de San José, debido a las limitaciones presupuestarias por las que atraviesa la Institución y en caso necesario y a partir del seguimiento; se determine eventualmente la necesidad de utilizar el recurso para colaborar en otro </w:t>
      </w:r>
      <w:r w:rsidRPr="003A6481">
        <w:rPr>
          <w:rFonts w:ascii="Book Antiqua" w:hAnsi="Book Antiqua"/>
          <w:i/>
          <w:iCs/>
        </w:rPr>
        <w:lastRenderedPageBreak/>
        <w:t>juzgado de trabajo del país. La reasignación anterior es de forma temporal, debido a que hay que valorar el impacto posterior que puede provocar los cambios de cuantía en materia laboral y el estudio que está en trámite en materia civil…”</w:t>
      </w:r>
    </w:p>
    <w:p w14:paraId="09E017FC" w14:textId="77777777" w:rsidR="0053269D" w:rsidRPr="00EE048F" w:rsidRDefault="0053269D" w:rsidP="00EE048F">
      <w:pPr>
        <w:spacing w:after="120"/>
        <w:ind w:left="1417" w:right="567"/>
        <w:jc w:val="both"/>
        <w:rPr>
          <w:rFonts w:ascii="Book Antiqua" w:hAnsi="Book Antiqua"/>
          <w:i/>
          <w:iCs/>
        </w:rPr>
      </w:pPr>
    </w:p>
    <w:p w14:paraId="280FEEE4" w14:textId="75C23747" w:rsidR="00401E0A" w:rsidRPr="00EB031E" w:rsidRDefault="00401E0A" w:rsidP="00401E0A">
      <w:pPr>
        <w:pStyle w:val="Prrafodelista"/>
        <w:numPr>
          <w:ilvl w:val="0"/>
          <w:numId w:val="32"/>
        </w:numPr>
        <w:spacing w:after="0" w:line="240" w:lineRule="auto"/>
        <w:jc w:val="both"/>
        <w:rPr>
          <w:rFonts w:ascii="Book Antiqua" w:hAnsi="Book Antiqua"/>
        </w:rPr>
      </w:pPr>
      <w:r>
        <w:rPr>
          <w:rFonts w:ascii="Book Antiqua" w:hAnsi="Book Antiqua"/>
          <w:color w:val="000000" w:themeColor="text1"/>
        </w:rPr>
        <w:t>A</w:t>
      </w:r>
      <w:r w:rsidRPr="0028350E">
        <w:rPr>
          <w:rFonts w:ascii="Book Antiqua" w:hAnsi="Book Antiqua"/>
          <w:color w:val="000000" w:themeColor="text1"/>
        </w:rPr>
        <w:t xml:space="preserve">cuerdo tomado por la Corte Plena, en sesión </w:t>
      </w:r>
      <w:r w:rsidRPr="00EB031E">
        <w:rPr>
          <w:rFonts w:ascii="Book Antiqua" w:hAnsi="Book Antiqua"/>
          <w:color w:val="000000" w:themeColor="text1"/>
        </w:rPr>
        <w:t>28-2021 celebrada el 05 de julio de 2021, artículo IV y por Consejo Superior en sesión 59-2021 celebrada el 15 de julio del 2021, artículo LVI, donde aprueban el oficio 673-PLA-2021, con las prioridades para plan de trabajo para la sección de descongestionamiento de apoyo a Tribunales de Apelación Civil y de Trabajo, con que cuenta el Centro de Apoyo, Coordinación y Mejoramiento de la Función Jurisdiccional.</w:t>
      </w:r>
      <w:r>
        <w:rPr>
          <w:lang w:val="es-ES"/>
        </w:rPr>
        <w:t xml:space="preserve"> </w:t>
      </w:r>
    </w:p>
    <w:p w14:paraId="5B0C9FA9" w14:textId="5B2FFA45" w:rsidR="00755F18" w:rsidRPr="00401E0A" w:rsidRDefault="00755F18" w:rsidP="00EB031E">
      <w:pPr>
        <w:pStyle w:val="Prrafodelista"/>
        <w:numPr>
          <w:ilvl w:val="0"/>
          <w:numId w:val="32"/>
        </w:numPr>
        <w:spacing w:after="0" w:line="240" w:lineRule="auto"/>
        <w:jc w:val="both"/>
        <w:rPr>
          <w:rFonts w:ascii="Book Antiqua" w:hAnsi="Book Antiqua"/>
        </w:rPr>
      </w:pPr>
      <w:r w:rsidRPr="00401E0A">
        <w:rPr>
          <w:rFonts w:ascii="Book Antiqua" w:hAnsi="Book Antiqua"/>
        </w:rPr>
        <w:br w:type="page"/>
      </w:r>
    </w:p>
    <w:p w14:paraId="04CF3FC6" w14:textId="77777777" w:rsidR="005217EE" w:rsidRPr="00410ED4" w:rsidRDefault="005217EE" w:rsidP="00D611CE">
      <w:pPr>
        <w:pStyle w:val="Ttulo2"/>
      </w:pPr>
      <w:bookmarkStart w:id="5" w:name="_Hlk61872337"/>
      <w:r w:rsidRPr="00410ED4">
        <w:lastRenderedPageBreak/>
        <w:t>Cantidad de Recurso Humano</w:t>
      </w:r>
    </w:p>
    <w:p w14:paraId="6AD50F48" w14:textId="540E273C" w:rsidR="0020384B" w:rsidRDefault="000E2DAA" w:rsidP="0060505C">
      <w:pPr>
        <w:spacing w:line="276" w:lineRule="auto"/>
        <w:jc w:val="both"/>
        <w:rPr>
          <w:rFonts w:ascii="Book Antiqua" w:hAnsi="Book Antiqua"/>
        </w:rPr>
      </w:pPr>
      <w:r>
        <w:rPr>
          <w:rFonts w:ascii="Book Antiqua" w:hAnsi="Book Antiqua"/>
        </w:rPr>
        <w:t>Con la finalidad de conocer la cantidad de recu</w:t>
      </w:r>
      <w:r w:rsidR="00782088">
        <w:rPr>
          <w:rFonts w:ascii="Book Antiqua" w:hAnsi="Book Antiqua"/>
        </w:rPr>
        <w:t xml:space="preserve">rso humano asignado </w:t>
      </w:r>
      <w:r w:rsidR="004D39FA">
        <w:rPr>
          <w:rFonts w:ascii="Book Antiqua" w:hAnsi="Book Antiqua"/>
        </w:rPr>
        <w:t xml:space="preserve">en los </w:t>
      </w:r>
      <w:r w:rsidR="00663AC0" w:rsidRPr="00410ED4">
        <w:rPr>
          <w:rFonts w:ascii="Book Antiqua" w:hAnsi="Book Antiqua"/>
        </w:rPr>
        <w:t>Tribunal</w:t>
      </w:r>
      <w:r w:rsidR="004D39FA">
        <w:rPr>
          <w:rFonts w:ascii="Book Antiqua" w:hAnsi="Book Antiqua"/>
        </w:rPr>
        <w:t>es</w:t>
      </w:r>
      <w:r w:rsidR="00663AC0" w:rsidRPr="00410ED4">
        <w:rPr>
          <w:rFonts w:ascii="Book Antiqua" w:hAnsi="Book Antiqua"/>
        </w:rPr>
        <w:t xml:space="preserve"> de Apelación Civil y Trabajo del </w:t>
      </w:r>
      <w:r w:rsidR="00663AC0" w:rsidRPr="0036093A">
        <w:rPr>
          <w:rFonts w:ascii="Book Antiqua" w:hAnsi="Book Antiqua"/>
        </w:rPr>
        <w:t>país</w:t>
      </w:r>
      <w:r w:rsidR="00416D61" w:rsidRPr="0036093A">
        <w:rPr>
          <w:rFonts w:ascii="Book Antiqua" w:hAnsi="Book Antiqua"/>
        </w:rPr>
        <w:t xml:space="preserve"> </w:t>
      </w:r>
      <w:r w:rsidR="00C268B0">
        <w:rPr>
          <w:rFonts w:ascii="Book Antiqua" w:hAnsi="Book Antiqua"/>
        </w:rPr>
        <w:t>(</w:t>
      </w:r>
      <w:r w:rsidR="007F7E71">
        <w:rPr>
          <w:rFonts w:ascii="Book Antiqua" w:hAnsi="Book Antiqua"/>
        </w:rPr>
        <w:t>M</w:t>
      </w:r>
      <w:r w:rsidR="0036256B">
        <w:rPr>
          <w:rFonts w:ascii="Book Antiqua" w:hAnsi="Book Antiqua"/>
        </w:rPr>
        <w:t xml:space="preserve">ixto) </w:t>
      </w:r>
      <w:r w:rsidR="00416D61" w:rsidRPr="0036093A">
        <w:rPr>
          <w:rFonts w:ascii="Book Antiqua" w:hAnsi="Book Antiqua"/>
        </w:rPr>
        <w:t>con competencia en ambas materias</w:t>
      </w:r>
      <w:r w:rsidR="00782088" w:rsidRPr="0036093A">
        <w:rPr>
          <w:rFonts w:ascii="Book Antiqua" w:hAnsi="Book Antiqua"/>
        </w:rPr>
        <w:t xml:space="preserve">, </w:t>
      </w:r>
      <w:r w:rsidR="00663AC0" w:rsidRPr="0036093A">
        <w:rPr>
          <w:rFonts w:ascii="Book Antiqua" w:hAnsi="Book Antiqua"/>
        </w:rPr>
        <w:t xml:space="preserve">se realizó consulta </w:t>
      </w:r>
      <w:r w:rsidR="0023248A" w:rsidRPr="0036093A">
        <w:rPr>
          <w:rFonts w:ascii="Book Antiqua" w:hAnsi="Book Antiqua"/>
        </w:rPr>
        <w:t xml:space="preserve">en la relación de puestos </w:t>
      </w:r>
      <w:r w:rsidR="00B97648" w:rsidRPr="0036093A">
        <w:rPr>
          <w:rFonts w:ascii="Book Antiqua" w:hAnsi="Book Antiqua"/>
        </w:rPr>
        <w:t xml:space="preserve">a enero </w:t>
      </w:r>
      <w:r w:rsidR="009F434A" w:rsidRPr="0036093A">
        <w:rPr>
          <w:rFonts w:ascii="Book Antiqua" w:hAnsi="Book Antiqua"/>
        </w:rPr>
        <w:t>202</w:t>
      </w:r>
      <w:r w:rsidR="00B97648" w:rsidRPr="002E1C90">
        <w:rPr>
          <w:rFonts w:ascii="Book Antiqua" w:hAnsi="Book Antiqua"/>
        </w:rPr>
        <w:t>1</w:t>
      </w:r>
      <w:r w:rsidR="009F434A" w:rsidRPr="0036093A">
        <w:rPr>
          <w:rFonts w:ascii="Book Antiqua" w:hAnsi="Book Antiqua"/>
        </w:rPr>
        <w:t xml:space="preserve"> </w:t>
      </w:r>
      <w:r w:rsidR="00BF40E6" w:rsidRPr="0036093A">
        <w:rPr>
          <w:rFonts w:ascii="Book Antiqua" w:hAnsi="Book Antiqua"/>
        </w:rPr>
        <w:t>de la Dirección de</w:t>
      </w:r>
      <w:r w:rsidR="00BF40E6">
        <w:rPr>
          <w:rFonts w:ascii="Book Antiqua" w:hAnsi="Book Antiqua"/>
        </w:rPr>
        <w:t xml:space="preserve"> Gestión Humana</w:t>
      </w:r>
      <w:r w:rsidR="004D39FA">
        <w:rPr>
          <w:rFonts w:ascii="Book Antiqua" w:hAnsi="Book Antiqua"/>
        </w:rPr>
        <w:t>, la información</w:t>
      </w:r>
      <w:r w:rsidR="005217EE" w:rsidRPr="00410ED4">
        <w:rPr>
          <w:rFonts w:ascii="Book Antiqua" w:hAnsi="Book Antiqua"/>
        </w:rPr>
        <w:t xml:space="preserve"> </w:t>
      </w:r>
      <w:r w:rsidR="00363B25">
        <w:rPr>
          <w:rFonts w:ascii="Book Antiqua" w:hAnsi="Book Antiqua"/>
        </w:rPr>
        <w:t xml:space="preserve">obtenida </w:t>
      </w:r>
      <w:r w:rsidR="005217EE" w:rsidRPr="00410ED4">
        <w:rPr>
          <w:rFonts w:ascii="Book Antiqua" w:hAnsi="Book Antiqua"/>
        </w:rPr>
        <w:t>se muestra en el siguiente cuadro:</w:t>
      </w:r>
    </w:p>
    <w:p w14:paraId="19066E42" w14:textId="3B9E1560" w:rsidR="00DB3347" w:rsidRPr="00410ED4" w:rsidRDefault="00DB3347" w:rsidP="00DB3347">
      <w:pPr>
        <w:keepNext/>
        <w:widowControl w:val="0"/>
        <w:autoSpaceDE w:val="0"/>
        <w:autoSpaceDN w:val="0"/>
        <w:adjustRightInd w:val="0"/>
        <w:spacing w:after="0" w:line="240" w:lineRule="auto"/>
        <w:jc w:val="center"/>
        <w:rPr>
          <w:rFonts w:ascii="Book Antiqua" w:eastAsia="Times New Roman" w:hAnsi="Book Antiqua" w:cs="Arial"/>
          <w:b/>
          <w:bCs/>
          <w:color w:val="1F497D" w:themeColor="text2"/>
          <w:lang w:eastAsia="es-ES"/>
        </w:rPr>
      </w:pPr>
      <w:r w:rsidRPr="00410ED4">
        <w:rPr>
          <w:rFonts w:ascii="Book Antiqua" w:eastAsia="Times New Roman" w:hAnsi="Book Antiqua" w:cs="Arial"/>
          <w:b/>
          <w:bCs/>
          <w:color w:val="1F497D" w:themeColor="text2"/>
          <w:lang w:eastAsia="es-ES"/>
        </w:rPr>
        <w:t xml:space="preserve">Cuadro </w:t>
      </w:r>
      <w:r w:rsidRPr="00410ED4">
        <w:rPr>
          <w:rFonts w:ascii="Book Antiqua" w:eastAsia="Times New Roman" w:hAnsi="Book Antiqua" w:cs="Arial"/>
          <w:b/>
          <w:bCs/>
          <w:color w:val="1F497D" w:themeColor="text2"/>
          <w:lang w:eastAsia="es-ES"/>
        </w:rPr>
        <w:fldChar w:fldCharType="begin"/>
      </w:r>
      <w:r w:rsidRPr="00410ED4">
        <w:rPr>
          <w:rFonts w:ascii="Book Antiqua" w:eastAsia="Times New Roman" w:hAnsi="Book Antiqua" w:cs="Arial"/>
          <w:b/>
          <w:bCs/>
          <w:color w:val="1F497D" w:themeColor="text2"/>
          <w:lang w:eastAsia="es-ES"/>
        </w:rPr>
        <w:instrText xml:space="preserve"> SEQ Cuadro \* ARABIC </w:instrText>
      </w:r>
      <w:r w:rsidRPr="00410ED4">
        <w:rPr>
          <w:rFonts w:ascii="Book Antiqua" w:eastAsia="Times New Roman" w:hAnsi="Book Antiqua" w:cs="Arial"/>
          <w:b/>
          <w:bCs/>
          <w:color w:val="1F497D" w:themeColor="text2"/>
          <w:lang w:eastAsia="es-ES"/>
        </w:rPr>
        <w:fldChar w:fldCharType="separate"/>
      </w:r>
      <w:r>
        <w:rPr>
          <w:rFonts w:ascii="Book Antiqua" w:eastAsia="Times New Roman" w:hAnsi="Book Antiqua" w:cs="Arial"/>
          <w:b/>
          <w:bCs/>
          <w:noProof/>
          <w:color w:val="1F497D" w:themeColor="text2"/>
          <w:lang w:eastAsia="es-ES"/>
        </w:rPr>
        <w:t>1</w:t>
      </w:r>
      <w:r w:rsidRPr="00410ED4">
        <w:rPr>
          <w:rFonts w:ascii="Book Antiqua" w:eastAsia="Times New Roman" w:hAnsi="Book Antiqua" w:cs="Arial"/>
          <w:b/>
          <w:bCs/>
          <w:color w:val="1F497D" w:themeColor="text2"/>
          <w:lang w:eastAsia="es-ES"/>
        </w:rPr>
        <w:fldChar w:fldCharType="end"/>
      </w:r>
    </w:p>
    <w:p w14:paraId="0B48201E" w14:textId="1E93F95F" w:rsidR="00D8607B" w:rsidRDefault="00D8607B" w:rsidP="00D8607B">
      <w:pPr>
        <w:pStyle w:val="Descripcin"/>
        <w:keepNext/>
        <w:spacing w:after="0"/>
        <w:jc w:val="center"/>
        <w:rPr>
          <w:rFonts w:ascii="Book Antiqua" w:eastAsia="Times New Roman" w:hAnsi="Book Antiqua" w:cs="Arial"/>
          <w:b/>
          <w:bCs/>
          <w:i w:val="0"/>
          <w:iCs w:val="0"/>
          <w:sz w:val="22"/>
          <w:szCs w:val="22"/>
          <w:lang w:eastAsia="es-ES"/>
        </w:rPr>
      </w:pPr>
      <w:r w:rsidRPr="0005645E">
        <w:rPr>
          <w:rFonts w:ascii="Book Antiqua" w:eastAsia="Times New Roman" w:hAnsi="Book Antiqua" w:cs="Arial"/>
          <w:b/>
          <w:bCs/>
          <w:i w:val="0"/>
          <w:iCs w:val="0"/>
          <w:sz w:val="22"/>
          <w:szCs w:val="22"/>
          <w:lang w:eastAsia="es-ES"/>
        </w:rPr>
        <w:t>Cantidad de Recurso Humano por Tribunales de Apelación Civil y Trabajo</w:t>
      </w:r>
      <w:r w:rsidR="0036256B">
        <w:rPr>
          <w:rFonts w:ascii="Book Antiqua" w:eastAsia="Times New Roman" w:hAnsi="Book Antiqua" w:cs="Arial"/>
          <w:b/>
          <w:bCs/>
          <w:i w:val="0"/>
          <w:iCs w:val="0"/>
          <w:sz w:val="22"/>
          <w:szCs w:val="22"/>
          <w:lang w:eastAsia="es-ES"/>
        </w:rPr>
        <w:t xml:space="preserve"> (Mixto)</w:t>
      </w:r>
    </w:p>
    <w:tbl>
      <w:tblPr>
        <w:tblW w:w="0" w:type="auto"/>
        <w:jc w:val="center"/>
        <w:tblCellMar>
          <w:left w:w="70" w:type="dxa"/>
          <w:right w:w="70" w:type="dxa"/>
        </w:tblCellMar>
        <w:tblLook w:val="04A0" w:firstRow="1" w:lastRow="0" w:firstColumn="1" w:lastColumn="0" w:noHBand="0" w:noVBand="1"/>
      </w:tblPr>
      <w:tblGrid>
        <w:gridCol w:w="5931"/>
        <w:gridCol w:w="2551"/>
      </w:tblGrid>
      <w:tr w:rsidR="005217EE" w:rsidRPr="00410ED4" w14:paraId="1EA8C60B" w14:textId="77777777" w:rsidTr="000C36BA">
        <w:trPr>
          <w:trHeight w:val="633"/>
          <w:jc w:val="center"/>
        </w:trPr>
        <w:tc>
          <w:tcPr>
            <w:tcW w:w="5931" w:type="dxa"/>
            <w:tcBorders>
              <w:top w:val="double" w:sz="6" w:space="0" w:color="1F497D"/>
              <w:left w:val="double" w:sz="6" w:space="0" w:color="1F497D"/>
              <w:bottom w:val="double" w:sz="6" w:space="0" w:color="1F497D"/>
              <w:right w:val="double" w:sz="6" w:space="0" w:color="1F497D"/>
            </w:tcBorders>
            <w:shd w:val="clear" w:color="auto" w:fill="17365D" w:themeFill="text2" w:themeFillShade="BF"/>
            <w:vAlign w:val="center"/>
            <w:hideMark/>
          </w:tcPr>
          <w:p w14:paraId="2DEEDF2C" w14:textId="77777777" w:rsidR="005217EE" w:rsidRPr="000C5306" w:rsidRDefault="005217EE" w:rsidP="005217EE">
            <w:pPr>
              <w:spacing w:after="0" w:line="240" w:lineRule="auto"/>
              <w:jc w:val="center"/>
              <w:rPr>
                <w:rFonts w:ascii="Book Antiqua" w:eastAsia="Times New Roman" w:hAnsi="Book Antiqua" w:cs="Times New Roman"/>
                <w:b/>
                <w:bCs/>
                <w:color w:val="FFFFFF"/>
                <w:lang w:eastAsia="es-CR"/>
              </w:rPr>
            </w:pPr>
            <w:r w:rsidRPr="000C5306">
              <w:rPr>
                <w:rFonts w:ascii="Book Antiqua" w:eastAsia="Times New Roman" w:hAnsi="Book Antiqua" w:cs="Times New Roman"/>
                <w:b/>
                <w:bCs/>
                <w:color w:val="FFFFFF"/>
                <w:lang w:eastAsia="es-CR"/>
              </w:rPr>
              <w:t>Tribunal</w:t>
            </w:r>
          </w:p>
        </w:tc>
        <w:tc>
          <w:tcPr>
            <w:tcW w:w="2551" w:type="dxa"/>
            <w:tcBorders>
              <w:top w:val="double" w:sz="6" w:space="0" w:color="1F497D"/>
              <w:left w:val="nil"/>
              <w:bottom w:val="double" w:sz="6" w:space="0" w:color="1F497D"/>
              <w:right w:val="double" w:sz="6" w:space="0" w:color="1F497D"/>
            </w:tcBorders>
            <w:shd w:val="clear" w:color="auto" w:fill="17365D" w:themeFill="text2" w:themeFillShade="BF"/>
            <w:vAlign w:val="center"/>
            <w:hideMark/>
          </w:tcPr>
          <w:p w14:paraId="3FF46A8F" w14:textId="77777777" w:rsidR="005217EE" w:rsidRPr="0023248A" w:rsidRDefault="005217EE" w:rsidP="005217EE">
            <w:pPr>
              <w:spacing w:after="0" w:line="240" w:lineRule="auto"/>
              <w:jc w:val="center"/>
              <w:rPr>
                <w:rFonts w:ascii="Book Antiqua" w:eastAsia="Times New Roman" w:hAnsi="Book Antiqua" w:cs="Times New Roman"/>
                <w:b/>
                <w:bCs/>
                <w:color w:val="FFFFFF"/>
                <w:lang w:eastAsia="es-CR"/>
              </w:rPr>
            </w:pPr>
            <w:r w:rsidRPr="0023248A">
              <w:rPr>
                <w:rFonts w:ascii="Book Antiqua" w:eastAsia="Times New Roman" w:hAnsi="Book Antiqua" w:cs="Times New Roman"/>
                <w:b/>
                <w:bCs/>
                <w:color w:val="FFFFFF"/>
                <w:lang w:eastAsia="es-CR"/>
              </w:rPr>
              <w:t xml:space="preserve">Plazas de Jueza o Juez </w:t>
            </w:r>
          </w:p>
        </w:tc>
      </w:tr>
      <w:tr w:rsidR="00B20C52" w:rsidRPr="00410ED4" w14:paraId="71B55268" w14:textId="77777777" w:rsidTr="000C36BA">
        <w:trPr>
          <w:trHeight w:val="227"/>
          <w:jc w:val="center"/>
        </w:trPr>
        <w:tc>
          <w:tcPr>
            <w:tcW w:w="5931" w:type="dxa"/>
            <w:tcBorders>
              <w:top w:val="nil"/>
              <w:left w:val="double" w:sz="6" w:space="0" w:color="1F497D"/>
              <w:bottom w:val="double" w:sz="6" w:space="0" w:color="1F497D"/>
              <w:right w:val="double" w:sz="6" w:space="0" w:color="1F497D"/>
            </w:tcBorders>
            <w:shd w:val="clear" w:color="auto" w:fill="auto"/>
            <w:noWrap/>
            <w:vAlign w:val="center"/>
            <w:hideMark/>
          </w:tcPr>
          <w:p w14:paraId="4BC26285" w14:textId="49C6D030" w:rsidR="00B20C52" w:rsidRPr="000C5306" w:rsidRDefault="00B20C52" w:rsidP="005217EE">
            <w:pPr>
              <w:spacing w:after="0" w:line="240" w:lineRule="auto"/>
              <w:rPr>
                <w:rFonts w:ascii="Book Antiqua" w:eastAsia="Times New Roman" w:hAnsi="Book Antiqua" w:cs="Times New Roman"/>
                <w:lang w:eastAsia="es-CR"/>
              </w:rPr>
            </w:pPr>
            <w:r w:rsidRPr="000C5306">
              <w:rPr>
                <w:rFonts w:ascii="Book Antiqua" w:eastAsia="Times New Roman" w:hAnsi="Book Antiqua" w:cs="Times New Roman"/>
                <w:lang w:eastAsia="es-CR"/>
              </w:rPr>
              <w:t xml:space="preserve">Tribunal </w:t>
            </w:r>
            <w:r w:rsidR="00766328" w:rsidRPr="003D214D">
              <w:rPr>
                <w:rFonts w:ascii="Book Antiqua" w:eastAsia="Times New Roman" w:hAnsi="Book Antiqua" w:cs="Times New Roman"/>
                <w:lang w:eastAsia="es-CR"/>
              </w:rPr>
              <w:t xml:space="preserve">de Apelación Civil y Trabajo de </w:t>
            </w:r>
            <w:r w:rsidR="00766328">
              <w:rPr>
                <w:rFonts w:ascii="Book Antiqua" w:eastAsia="Times New Roman" w:hAnsi="Book Antiqua" w:cs="Times New Roman"/>
                <w:lang w:eastAsia="es-CR"/>
              </w:rPr>
              <w:t xml:space="preserve">la Zona </w:t>
            </w:r>
            <w:r w:rsidRPr="000C5306">
              <w:rPr>
                <w:rFonts w:ascii="Book Antiqua" w:eastAsia="Times New Roman" w:hAnsi="Book Antiqua" w:cs="Times New Roman"/>
                <w:lang w:eastAsia="es-CR"/>
              </w:rPr>
              <w:t xml:space="preserve">Sur </w:t>
            </w:r>
            <w:r w:rsidR="00002159">
              <w:rPr>
                <w:rFonts w:ascii="Book Antiqua" w:eastAsia="Times New Roman" w:hAnsi="Book Antiqua" w:cs="Times New Roman"/>
                <w:color w:val="000000"/>
                <w:lang w:eastAsia="es-CR"/>
              </w:rPr>
              <w:t>(Pérez Zeledón)</w:t>
            </w:r>
          </w:p>
        </w:tc>
        <w:tc>
          <w:tcPr>
            <w:tcW w:w="2551" w:type="dxa"/>
            <w:tcBorders>
              <w:top w:val="nil"/>
              <w:left w:val="nil"/>
              <w:bottom w:val="double" w:sz="6" w:space="0" w:color="1F497D"/>
              <w:right w:val="double" w:sz="6" w:space="0" w:color="1F497D"/>
            </w:tcBorders>
            <w:shd w:val="clear" w:color="000000" w:fill="FFFFFF"/>
            <w:vAlign w:val="center"/>
          </w:tcPr>
          <w:p w14:paraId="7B4A6FF0" w14:textId="77777777" w:rsidR="00B20C52" w:rsidRPr="00B97648" w:rsidRDefault="00B20C52" w:rsidP="005217EE">
            <w:pPr>
              <w:spacing w:after="0" w:line="240" w:lineRule="auto"/>
              <w:jc w:val="center"/>
              <w:rPr>
                <w:rFonts w:ascii="Book Antiqua" w:eastAsia="Times New Roman" w:hAnsi="Book Antiqua" w:cs="Times New Roman"/>
                <w:color w:val="000000"/>
                <w:lang w:eastAsia="es-CR"/>
              </w:rPr>
            </w:pPr>
            <w:r w:rsidRPr="00B97648">
              <w:rPr>
                <w:rFonts w:ascii="Book Antiqua" w:eastAsia="Times New Roman" w:hAnsi="Book Antiqua" w:cs="Times New Roman"/>
                <w:color w:val="000000"/>
                <w:lang w:eastAsia="es-CR"/>
              </w:rPr>
              <w:t>3</w:t>
            </w:r>
          </w:p>
        </w:tc>
      </w:tr>
      <w:tr w:rsidR="005217EE" w:rsidRPr="00410ED4" w14:paraId="6EB708E6" w14:textId="77777777" w:rsidTr="000C36BA">
        <w:trPr>
          <w:trHeight w:val="227"/>
          <w:jc w:val="center"/>
        </w:trPr>
        <w:tc>
          <w:tcPr>
            <w:tcW w:w="5931" w:type="dxa"/>
            <w:tcBorders>
              <w:top w:val="nil"/>
              <w:left w:val="double" w:sz="6" w:space="0" w:color="1F497D"/>
              <w:bottom w:val="double" w:sz="6" w:space="0" w:color="1F497D"/>
              <w:right w:val="double" w:sz="6" w:space="0" w:color="1F497D"/>
            </w:tcBorders>
            <w:shd w:val="clear" w:color="auto" w:fill="auto"/>
            <w:noWrap/>
            <w:vAlign w:val="bottom"/>
            <w:hideMark/>
          </w:tcPr>
          <w:p w14:paraId="54274250" w14:textId="171ADB49" w:rsidR="005217EE" w:rsidRPr="000C5306" w:rsidRDefault="003D214D" w:rsidP="005217EE">
            <w:pPr>
              <w:spacing w:after="0" w:line="240" w:lineRule="auto"/>
              <w:rPr>
                <w:rFonts w:ascii="Book Antiqua" w:eastAsia="Times New Roman" w:hAnsi="Book Antiqua" w:cs="Times New Roman"/>
                <w:lang w:eastAsia="es-CR"/>
              </w:rPr>
            </w:pPr>
            <w:r w:rsidRPr="003D214D">
              <w:rPr>
                <w:rFonts w:ascii="Book Antiqua" w:eastAsia="Times New Roman" w:hAnsi="Book Antiqua" w:cs="Times New Roman"/>
                <w:lang w:eastAsia="es-CR"/>
              </w:rPr>
              <w:t>Tribunal de Apelación Civil y Trabajo de Alajuela</w:t>
            </w:r>
          </w:p>
        </w:tc>
        <w:tc>
          <w:tcPr>
            <w:tcW w:w="2551" w:type="dxa"/>
            <w:tcBorders>
              <w:top w:val="double" w:sz="6" w:space="0" w:color="1F497D"/>
              <w:left w:val="nil"/>
              <w:bottom w:val="double" w:sz="6" w:space="0" w:color="1F497D"/>
              <w:right w:val="double" w:sz="6" w:space="0" w:color="1F497D"/>
            </w:tcBorders>
            <w:shd w:val="clear" w:color="000000" w:fill="FFFFFF"/>
            <w:vAlign w:val="center"/>
            <w:hideMark/>
          </w:tcPr>
          <w:p w14:paraId="0127CB83" w14:textId="77777777" w:rsidR="005217EE" w:rsidRPr="00B97648" w:rsidRDefault="005217EE" w:rsidP="005217EE">
            <w:pPr>
              <w:spacing w:after="0" w:line="240" w:lineRule="auto"/>
              <w:jc w:val="center"/>
              <w:rPr>
                <w:rFonts w:ascii="Book Antiqua" w:eastAsia="Times New Roman" w:hAnsi="Book Antiqua" w:cs="Times New Roman"/>
                <w:color w:val="000000"/>
                <w:lang w:eastAsia="es-CR"/>
              </w:rPr>
            </w:pPr>
            <w:r w:rsidRPr="00B97648">
              <w:rPr>
                <w:rFonts w:ascii="Book Antiqua" w:eastAsia="Times New Roman" w:hAnsi="Book Antiqua" w:cs="Times New Roman"/>
                <w:color w:val="000000"/>
                <w:lang w:eastAsia="es-CR"/>
              </w:rPr>
              <w:t>6</w:t>
            </w:r>
          </w:p>
        </w:tc>
      </w:tr>
      <w:tr w:rsidR="005217EE" w:rsidRPr="00410ED4" w14:paraId="73C3C5BF" w14:textId="77777777" w:rsidTr="000C36BA">
        <w:trPr>
          <w:trHeight w:val="227"/>
          <w:jc w:val="center"/>
        </w:trPr>
        <w:tc>
          <w:tcPr>
            <w:tcW w:w="5931" w:type="dxa"/>
            <w:tcBorders>
              <w:top w:val="nil"/>
              <w:left w:val="double" w:sz="6" w:space="0" w:color="1F497D"/>
              <w:bottom w:val="double" w:sz="6" w:space="0" w:color="1F497D"/>
              <w:right w:val="double" w:sz="6" w:space="0" w:color="1F497D"/>
            </w:tcBorders>
            <w:shd w:val="clear" w:color="auto" w:fill="auto"/>
            <w:noWrap/>
            <w:vAlign w:val="center"/>
            <w:hideMark/>
          </w:tcPr>
          <w:p w14:paraId="7EDD551D" w14:textId="7C5B46FF" w:rsidR="005217EE" w:rsidRPr="000C5306" w:rsidRDefault="003D214D" w:rsidP="005217EE">
            <w:pPr>
              <w:spacing w:after="0" w:line="240" w:lineRule="auto"/>
              <w:rPr>
                <w:rFonts w:ascii="Book Antiqua" w:eastAsia="Times New Roman" w:hAnsi="Book Antiqua" w:cs="Times New Roman"/>
                <w:lang w:eastAsia="es-CR"/>
              </w:rPr>
            </w:pPr>
            <w:r w:rsidRPr="003D214D">
              <w:rPr>
                <w:rFonts w:ascii="Book Antiqua" w:eastAsia="Times New Roman" w:hAnsi="Book Antiqua" w:cs="Times New Roman"/>
                <w:lang w:eastAsia="es-CR"/>
              </w:rPr>
              <w:t>Tribunal de Apelación Civil y Trabajo de Cartago</w:t>
            </w:r>
          </w:p>
        </w:tc>
        <w:tc>
          <w:tcPr>
            <w:tcW w:w="2551" w:type="dxa"/>
            <w:tcBorders>
              <w:top w:val="double" w:sz="6" w:space="0" w:color="1F497D"/>
              <w:left w:val="nil"/>
              <w:bottom w:val="double" w:sz="6" w:space="0" w:color="1F497D"/>
              <w:right w:val="double" w:sz="6" w:space="0" w:color="1F497D"/>
            </w:tcBorders>
            <w:shd w:val="clear" w:color="000000" w:fill="FFFFFF"/>
            <w:vAlign w:val="center"/>
            <w:hideMark/>
          </w:tcPr>
          <w:p w14:paraId="0C174521" w14:textId="77777777" w:rsidR="005217EE" w:rsidRPr="00B97648" w:rsidRDefault="005217EE" w:rsidP="005217EE">
            <w:pPr>
              <w:spacing w:after="0" w:line="240" w:lineRule="auto"/>
              <w:jc w:val="center"/>
              <w:rPr>
                <w:rFonts w:ascii="Book Antiqua" w:eastAsia="Times New Roman" w:hAnsi="Book Antiqua" w:cs="Times New Roman"/>
                <w:color w:val="000000"/>
                <w:lang w:eastAsia="es-CR"/>
              </w:rPr>
            </w:pPr>
            <w:r w:rsidRPr="00B97648">
              <w:rPr>
                <w:rFonts w:ascii="Book Antiqua" w:eastAsia="Times New Roman" w:hAnsi="Book Antiqua" w:cs="Times New Roman"/>
                <w:color w:val="000000"/>
                <w:lang w:eastAsia="es-CR"/>
              </w:rPr>
              <w:t>3</w:t>
            </w:r>
          </w:p>
        </w:tc>
      </w:tr>
      <w:tr w:rsidR="005217EE" w:rsidRPr="00410ED4" w14:paraId="18776D08" w14:textId="77777777" w:rsidTr="000C36BA">
        <w:trPr>
          <w:trHeight w:val="227"/>
          <w:jc w:val="center"/>
        </w:trPr>
        <w:tc>
          <w:tcPr>
            <w:tcW w:w="5931" w:type="dxa"/>
            <w:tcBorders>
              <w:top w:val="nil"/>
              <w:left w:val="double" w:sz="6" w:space="0" w:color="1F497D"/>
              <w:bottom w:val="double" w:sz="6" w:space="0" w:color="1F497D"/>
              <w:right w:val="double" w:sz="6" w:space="0" w:color="1F497D"/>
            </w:tcBorders>
            <w:shd w:val="clear" w:color="auto" w:fill="auto"/>
            <w:noWrap/>
            <w:vAlign w:val="center"/>
            <w:hideMark/>
          </w:tcPr>
          <w:p w14:paraId="38862A85" w14:textId="54BFAFC7" w:rsidR="005217EE" w:rsidRPr="000C5306" w:rsidRDefault="003D214D" w:rsidP="005217EE">
            <w:pPr>
              <w:spacing w:after="0" w:line="240" w:lineRule="auto"/>
              <w:rPr>
                <w:rFonts w:ascii="Book Antiqua" w:eastAsia="Times New Roman" w:hAnsi="Book Antiqua" w:cs="Times New Roman"/>
                <w:lang w:eastAsia="es-CR"/>
              </w:rPr>
            </w:pPr>
            <w:r w:rsidRPr="003D214D">
              <w:rPr>
                <w:rFonts w:ascii="Book Antiqua" w:eastAsia="Times New Roman" w:hAnsi="Book Antiqua" w:cs="Times New Roman"/>
                <w:lang w:eastAsia="es-CR"/>
              </w:rPr>
              <w:t>Tribunal de Apelación Civil y Trabajo de Heredia</w:t>
            </w:r>
          </w:p>
        </w:tc>
        <w:tc>
          <w:tcPr>
            <w:tcW w:w="2551" w:type="dxa"/>
            <w:tcBorders>
              <w:top w:val="double" w:sz="6" w:space="0" w:color="1F497D"/>
              <w:left w:val="nil"/>
              <w:bottom w:val="double" w:sz="6" w:space="0" w:color="1F497D"/>
              <w:right w:val="double" w:sz="6" w:space="0" w:color="1F497D"/>
            </w:tcBorders>
            <w:shd w:val="clear" w:color="000000" w:fill="FFFFFF"/>
            <w:vAlign w:val="center"/>
            <w:hideMark/>
          </w:tcPr>
          <w:p w14:paraId="0E1A0D28" w14:textId="77777777" w:rsidR="005217EE" w:rsidRPr="00B97648" w:rsidRDefault="005217EE" w:rsidP="005217EE">
            <w:pPr>
              <w:spacing w:after="0" w:line="240" w:lineRule="auto"/>
              <w:jc w:val="center"/>
              <w:rPr>
                <w:rFonts w:ascii="Book Antiqua" w:eastAsia="Times New Roman" w:hAnsi="Book Antiqua" w:cs="Times New Roman"/>
                <w:color w:val="000000"/>
                <w:lang w:eastAsia="es-CR"/>
              </w:rPr>
            </w:pPr>
            <w:r w:rsidRPr="00B97648">
              <w:rPr>
                <w:rFonts w:ascii="Book Antiqua" w:eastAsia="Times New Roman" w:hAnsi="Book Antiqua" w:cs="Times New Roman"/>
                <w:color w:val="000000"/>
                <w:lang w:eastAsia="es-CR"/>
              </w:rPr>
              <w:t>3</w:t>
            </w:r>
          </w:p>
        </w:tc>
      </w:tr>
      <w:tr w:rsidR="005217EE" w:rsidRPr="00410ED4" w14:paraId="3FCE581D" w14:textId="77777777" w:rsidTr="000C36BA">
        <w:trPr>
          <w:trHeight w:val="227"/>
          <w:jc w:val="center"/>
        </w:trPr>
        <w:tc>
          <w:tcPr>
            <w:tcW w:w="5931" w:type="dxa"/>
            <w:tcBorders>
              <w:top w:val="nil"/>
              <w:left w:val="double" w:sz="6" w:space="0" w:color="1F497D"/>
              <w:bottom w:val="double" w:sz="6" w:space="0" w:color="1F497D"/>
              <w:right w:val="double" w:sz="6" w:space="0" w:color="1F497D"/>
            </w:tcBorders>
            <w:shd w:val="clear" w:color="auto" w:fill="auto"/>
            <w:noWrap/>
            <w:vAlign w:val="bottom"/>
            <w:hideMark/>
          </w:tcPr>
          <w:p w14:paraId="389E99E8" w14:textId="43FCE769" w:rsidR="005217EE" w:rsidRPr="000C5306" w:rsidRDefault="003D214D" w:rsidP="005217EE">
            <w:pPr>
              <w:spacing w:after="0" w:line="240" w:lineRule="auto"/>
              <w:rPr>
                <w:rFonts w:ascii="Book Antiqua" w:eastAsia="Times New Roman" w:hAnsi="Book Antiqua" w:cs="Times New Roman"/>
                <w:lang w:eastAsia="es-CR"/>
              </w:rPr>
            </w:pPr>
            <w:r w:rsidRPr="003D214D">
              <w:rPr>
                <w:rFonts w:ascii="Book Antiqua" w:eastAsia="Times New Roman" w:hAnsi="Book Antiqua" w:cs="Times New Roman"/>
                <w:lang w:eastAsia="es-CR"/>
              </w:rPr>
              <w:t xml:space="preserve">Tribunal de Apelación Civil y Trabajo </w:t>
            </w:r>
            <w:r w:rsidR="00416D61">
              <w:rPr>
                <w:rFonts w:ascii="Book Antiqua" w:eastAsia="Times New Roman" w:hAnsi="Book Antiqua" w:cs="Times New Roman"/>
                <w:lang w:eastAsia="es-CR"/>
              </w:rPr>
              <w:t>de Guanacaste (</w:t>
            </w:r>
            <w:r w:rsidRPr="003D214D">
              <w:rPr>
                <w:rFonts w:ascii="Book Antiqua" w:eastAsia="Times New Roman" w:hAnsi="Book Antiqua" w:cs="Times New Roman"/>
                <w:lang w:eastAsia="es-CR"/>
              </w:rPr>
              <w:t>Liberia</w:t>
            </w:r>
            <w:r w:rsidR="00416D61">
              <w:rPr>
                <w:rFonts w:ascii="Book Antiqua" w:eastAsia="Times New Roman" w:hAnsi="Book Antiqua" w:cs="Times New Roman"/>
                <w:lang w:eastAsia="es-CR"/>
              </w:rPr>
              <w:t>)</w:t>
            </w:r>
          </w:p>
        </w:tc>
        <w:tc>
          <w:tcPr>
            <w:tcW w:w="2551" w:type="dxa"/>
            <w:tcBorders>
              <w:top w:val="double" w:sz="6" w:space="0" w:color="1F497D"/>
              <w:left w:val="nil"/>
              <w:bottom w:val="double" w:sz="6" w:space="0" w:color="1F497D"/>
              <w:right w:val="double" w:sz="6" w:space="0" w:color="1F497D"/>
            </w:tcBorders>
            <w:shd w:val="clear" w:color="000000" w:fill="FFFFFF"/>
            <w:vAlign w:val="center"/>
            <w:hideMark/>
          </w:tcPr>
          <w:p w14:paraId="3783367E" w14:textId="77777777" w:rsidR="005217EE" w:rsidRPr="00B97648" w:rsidRDefault="005217EE" w:rsidP="005217EE">
            <w:pPr>
              <w:spacing w:after="0" w:line="240" w:lineRule="auto"/>
              <w:jc w:val="center"/>
              <w:rPr>
                <w:rFonts w:ascii="Book Antiqua" w:eastAsia="Times New Roman" w:hAnsi="Book Antiqua" w:cs="Times New Roman"/>
                <w:color w:val="000000"/>
                <w:lang w:eastAsia="es-CR"/>
              </w:rPr>
            </w:pPr>
            <w:r w:rsidRPr="00B97648">
              <w:rPr>
                <w:rFonts w:ascii="Book Antiqua" w:eastAsia="Times New Roman" w:hAnsi="Book Antiqua" w:cs="Times New Roman"/>
                <w:color w:val="000000"/>
                <w:lang w:eastAsia="es-CR"/>
              </w:rPr>
              <w:t>3</w:t>
            </w:r>
          </w:p>
        </w:tc>
      </w:tr>
      <w:tr w:rsidR="005217EE" w:rsidRPr="00410ED4" w14:paraId="41A85F9D" w14:textId="77777777" w:rsidTr="000C36BA">
        <w:trPr>
          <w:trHeight w:val="227"/>
          <w:jc w:val="center"/>
        </w:trPr>
        <w:tc>
          <w:tcPr>
            <w:tcW w:w="5931" w:type="dxa"/>
            <w:tcBorders>
              <w:top w:val="nil"/>
              <w:left w:val="double" w:sz="6" w:space="0" w:color="1F497D"/>
              <w:bottom w:val="double" w:sz="6" w:space="0" w:color="1F497D"/>
              <w:right w:val="double" w:sz="6" w:space="0" w:color="1F497D"/>
            </w:tcBorders>
            <w:shd w:val="clear" w:color="auto" w:fill="auto"/>
            <w:noWrap/>
            <w:vAlign w:val="bottom"/>
            <w:hideMark/>
          </w:tcPr>
          <w:p w14:paraId="6A17304B" w14:textId="7093F896" w:rsidR="005217EE" w:rsidRPr="000C5306" w:rsidRDefault="003D214D" w:rsidP="005217EE">
            <w:pPr>
              <w:spacing w:after="0" w:line="240" w:lineRule="auto"/>
              <w:rPr>
                <w:rFonts w:ascii="Book Antiqua" w:eastAsia="Times New Roman" w:hAnsi="Book Antiqua" w:cs="Times New Roman"/>
                <w:lang w:eastAsia="es-CR"/>
              </w:rPr>
            </w:pPr>
            <w:r w:rsidRPr="003D214D">
              <w:rPr>
                <w:rFonts w:ascii="Book Antiqua" w:eastAsia="Times New Roman" w:hAnsi="Book Antiqua" w:cs="Times New Roman"/>
                <w:lang w:eastAsia="es-CR"/>
              </w:rPr>
              <w:t>Tribunal de Apelación Civil y Trabajo de Puntarenas</w:t>
            </w:r>
          </w:p>
        </w:tc>
        <w:tc>
          <w:tcPr>
            <w:tcW w:w="2551" w:type="dxa"/>
            <w:tcBorders>
              <w:top w:val="double" w:sz="6" w:space="0" w:color="1F497D"/>
              <w:left w:val="nil"/>
              <w:bottom w:val="double" w:sz="6" w:space="0" w:color="1F497D"/>
              <w:right w:val="double" w:sz="6" w:space="0" w:color="1F497D"/>
            </w:tcBorders>
            <w:shd w:val="clear" w:color="000000" w:fill="FFFFFF"/>
            <w:vAlign w:val="center"/>
            <w:hideMark/>
          </w:tcPr>
          <w:p w14:paraId="16A48C55" w14:textId="77777777" w:rsidR="005217EE" w:rsidRPr="00B97648" w:rsidRDefault="005217EE" w:rsidP="005217EE">
            <w:pPr>
              <w:spacing w:after="0" w:line="240" w:lineRule="auto"/>
              <w:jc w:val="center"/>
              <w:rPr>
                <w:rFonts w:ascii="Book Antiqua" w:eastAsia="Times New Roman" w:hAnsi="Book Antiqua" w:cs="Times New Roman"/>
                <w:color w:val="000000"/>
                <w:lang w:eastAsia="es-CR"/>
              </w:rPr>
            </w:pPr>
            <w:r w:rsidRPr="00B97648">
              <w:rPr>
                <w:rFonts w:ascii="Book Antiqua" w:eastAsia="Times New Roman" w:hAnsi="Book Antiqua" w:cs="Times New Roman"/>
                <w:color w:val="000000"/>
                <w:lang w:eastAsia="es-CR"/>
              </w:rPr>
              <w:t>3</w:t>
            </w:r>
          </w:p>
        </w:tc>
      </w:tr>
      <w:tr w:rsidR="005217EE" w:rsidRPr="00410ED4" w14:paraId="1CBB55A4" w14:textId="77777777" w:rsidTr="000C36BA">
        <w:trPr>
          <w:trHeight w:val="227"/>
          <w:jc w:val="center"/>
        </w:trPr>
        <w:tc>
          <w:tcPr>
            <w:tcW w:w="5931" w:type="dxa"/>
            <w:tcBorders>
              <w:top w:val="nil"/>
              <w:left w:val="double" w:sz="6" w:space="0" w:color="1F497D"/>
              <w:bottom w:val="nil"/>
              <w:right w:val="double" w:sz="6" w:space="0" w:color="1F497D"/>
            </w:tcBorders>
            <w:shd w:val="clear" w:color="auto" w:fill="auto"/>
            <w:noWrap/>
            <w:vAlign w:val="center"/>
            <w:hideMark/>
          </w:tcPr>
          <w:p w14:paraId="7368CF7E" w14:textId="41892F77" w:rsidR="005217EE" w:rsidRPr="000C5306" w:rsidRDefault="005217EE" w:rsidP="005217EE">
            <w:pPr>
              <w:spacing w:after="0" w:line="240" w:lineRule="auto"/>
              <w:rPr>
                <w:rFonts w:ascii="Book Antiqua" w:eastAsia="Times New Roman" w:hAnsi="Book Antiqua" w:cs="Times New Roman"/>
                <w:lang w:eastAsia="es-CR"/>
              </w:rPr>
            </w:pPr>
            <w:r w:rsidRPr="000C5306">
              <w:rPr>
                <w:rFonts w:ascii="Book Antiqua" w:eastAsia="Times New Roman" w:hAnsi="Book Antiqua" w:cs="Times New Roman"/>
                <w:lang w:eastAsia="es-CR"/>
              </w:rPr>
              <w:t>Tribunal</w:t>
            </w:r>
            <w:r w:rsidR="00766328">
              <w:rPr>
                <w:rFonts w:ascii="Book Antiqua" w:eastAsia="Times New Roman" w:hAnsi="Book Antiqua" w:cs="Times New Roman"/>
                <w:lang w:eastAsia="es-CR"/>
              </w:rPr>
              <w:t xml:space="preserve"> </w:t>
            </w:r>
            <w:r w:rsidR="00766328" w:rsidRPr="003D214D">
              <w:rPr>
                <w:rFonts w:ascii="Book Antiqua" w:eastAsia="Times New Roman" w:hAnsi="Book Antiqua" w:cs="Times New Roman"/>
                <w:lang w:eastAsia="es-CR"/>
              </w:rPr>
              <w:t>de Apelación Civil y Trabajo</w:t>
            </w:r>
            <w:r w:rsidR="00766328">
              <w:rPr>
                <w:rFonts w:ascii="Book Antiqua" w:eastAsia="Times New Roman" w:hAnsi="Book Antiqua" w:cs="Times New Roman"/>
                <w:lang w:eastAsia="es-CR"/>
              </w:rPr>
              <w:t xml:space="preserve"> de</w:t>
            </w:r>
            <w:r w:rsidR="008C6FBA">
              <w:rPr>
                <w:rFonts w:ascii="Book Antiqua" w:eastAsia="Times New Roman" w:hAnsi="Book Antiqua" w:cs="Times New Roman"/>
                <w:lang w:eastAsia="es-CR"/>
              </w:rPr>
              <w:t xml:space="preserve"> </w:t>
            </w:r>
            <w:r w:rsidR="00416D61">
              <w:rPr>
                <w:rFonts w:ascii="Book Antiqua" w:eastAsia="Times New Roman" w:hAnsi="Book Antiqua" w:cs="Times New Roman"/>
                <w:lang w:eastAsia="es-CR"/>
              </w:rPr>
              <w:t>la Zona Atlántica (</w:t>
            </w:r>
            <w:r w:rsidR="008C6FBA">
              <w:rPr>
                <w:rFonts w:ascii="Book Antiqua" w:eastAsia="Times New Roman" w:hAnsi="Book Antiqua" w:cs="Times New Roman"/>
                <w:lang w:eastAsia="es-CR"/>
              </w:rPr>
              <w:t>Limón</w:t>
            </w:r>
            <w:r w:rsidR="00416D61">
              <w:rPr>
                <w:rFonts w:ascii="Book Antiqua" w:eastAsia="Times New Roman" w:hAnsi="Book Antiqua" w:cs="Times New Roman"/>
                <w:lang w:eastAsia="es-CR"/>
              </w:rPr>
              <w:t>)</w:t>
            </w:r>
          </w:p>
        </w:tc>
        <w:tc>
          <w:tcPr>
            <w:tcW w:w="2551" w:type="dxa"/>
            <w:tcBorders>
              <w:top w:val="double" w:sz="6" w:space="0" w:color="1F497D"/>
              <w:left w:val="nil"/>
              <w:bottom w:val="double" w:sz="6" w:space="0" w:color="1F497D"/>
              <w:right w:val="double" w:sz="6" w:space="0" w:color="1F497D"/>
            </w:tcBorders>
            <w:shd w:val="clear" w:color="000000" w:fill="FFFFFF"/>
            <w:vAlign w:val="center"/>
            <w:hideMark/>
          </w:tcPr>
          <w:p w14:paraId="16ECFD3A" w14:textId="77777777" w:rsidR="005217EE" w:rsidRPr="00B97648" w:rsidRDefault="005217EE" w:rsidP="005217EE">
            <w:pPr>
              <w:spacing w:after="0" w:line="240" w:lineRule="auto"/>
              <w:jc w:val="center"/>
              <w:rPr>
                <w:rFonts w:ascii="Book Antiqua" w:eastAsia="Times New Roman" w:hAnsi="Book Antiqua" w:cs="Times New Roman"/>
                <w:color w:val="000000"/>
                <w:lang w:eastAsia="es-CR"/>
              </w:rPr>
            </w:pPr>
            <w:r w:rsidRPr="00B97648">
              <w:rPr>
                <w:rFonts w:ascii="Book Antiqua" w:eastAsia="Times New Roman" w:hAnsi="Book Antiqua" w:cs="Times New Roman"/>
                <w:color w:val="000000"/>
                <w:lang w:eastAsia="es-CR"/>
              </w:rPr>
              <w:t>4</w:t>
            </w:r>
          </w:p>
        </w:tc>
      </w:tr>
      <w:tr w:rsidR="00366E08" w:rsidRPr="00410ED4" w14:paraId="15A6CEE5" w14:textId="77777777" w:rsidTr="00C219B9">
        <w:trPr>
          <w:trHeight w:val="227"/>
          <w:jc w:val="center"/>
        </w:trPr>
        <w:tc>
          <w:tcPr>
            <w:tcW w:w="5931" w:type="dxa"/>
            <w:tcBorders>
              <w:top w:val="nil"/>
              <w:left w:val="double" w:sz="6" w:space="0" w:color="1F497D"/>
              <w:bottom w:val="double" w:sz="4" w:space="0" w:color="1F497D" w:themeColor="text2"/>
              <w:right w:val="double" w:sz="6" w:space="0" w:color="1F497D"/>
            </w:tcBorders>
            <w:shd w:val="clear" w:color="auto" w:fill="17365D" w:themeFill="text2" w:themeFillShade="BF"/>
            <w:noWrap/>
            <w:vAlign w:val="center"/>
          </w:tcPr>
          <w:p w14:paraId="627A04C2" w14:textId="65838760" w:rsidR="00366E08" w:rsidRPr="000C5306" w:rsidRDefault="00366E08" w:rsidP="005217EE">
            <w:pPr>
              <w:spacing w:after="0" w:line="240" w:lineRule="auto"/>
              <w:rPr>
                <w:rFonts w:ascii="Book Antiqua" w:eastAsia="Times New Roman" w:hAnsi="Book Antiqua" w:cs="Times New Roman"/>
                <w:lang w:eastAsia="es-CR"/>
              </w:rPr>
            </w:pPr>
          </w:p>
        </w:tc>
        <w:tc>
          <w:tcPr>
            <w:tcW w:w="2551" w:type="dxa"/>
            <w:tcBorders>
              <w:top w:val="double" w:sz="6" w:space="0" w:color="1F497D"/>
              <w:left w:val="nil"/>
              <w:bottom w:val="double" w:sz="4" w:space="0" w:color="1F497D" w:themeColor="text2"/>
              <w:right w:val="double" w:sz="6" w:space="0" w:color="1F497D"/>
            </w:tcBorders>
            <w:shd w:val="clear" w:color="auto" w:fill="17365D" w:themeFill="text2" w:themeFillShade="BF"/>
            <w:vAlign w:val="center"/>
          </w:tcPr>
          <w:p w14:paraId="7E1563E9" w14:textId="01ED53B5" w:rsidR="00366E08" w:rsidRPr="0023248A" w:rsidRDefault="00366E08" w:rsidP="005217EE">
            <w:pPr>
              <w:spacing w:after="0" w:line="240" w:lineRule="auto"/>
              <w:jc w:val="center"/>
              <w:rPr>
                <w:rFonts w:ascii="Book Antiqua" w:eastAsia="Times New Roman" w:hAnsi="Book Antiqua" w:cs="Times New Roman"/>
                <w:color w:val="000000"/>
                <w:lang w:eastAsia="es-CR"/>
              </w:rPr>
            </w:pPr>
          </w:p>
        </w:tc>
      </w:tr>
    </w:tbl>
    <w:p w14:paraId="66CD6230" w14:textId="3E03FA2B" w:rsidR="0023248A" w:rsidRDefault="009A357C" w:rsidP="00C219B9">
      <w:pPr>
        <w:ind w:left="2268" w:right="2231" w:hanging="1984"/>
        <w:jc w:val="both"/>
        <w:rPr>
          <w:rFonts w:ascii="Book Antiqua" w:hAnsi="Book Antiqua"/>
          <w:bCs/>
          <w:iCs/>
        </w:rPr>
      </w:pPr>
      <w:r w:rsidRPr="00410ED4">
        <w:rPr>
          <w:rFonts w:ascii="Book Antiqua" w:hAnsi="Book Antiqua"/>
          <w:b/>
          <w:i/>
          <w:sz w:val="20"/>
        </w:rPr>
        <w:t>Fuente: Relación de Puestos 20</w:t>
      </w:r>
      <w:r w:rsidR="00D57F6B">
        <w:rPr>
          <w:rFonts w:ascii="Book Antiqua" w:hAnsi="Book Antiqua"/>
          <w:b/>
          <w:i/>
          <w:sz w:val="20"/>
        </w:rPr>
        <w:t>2</w:t>
      </w:r>
      <w:r w:rsidR="00B97648">
        <w:rPr>
          <w:rFonts w:ascii="Book Antiqua" w:hAnsi="Book Antiqua"/>
          <w:b/>
          <w:i/>
          <w:sz w:val="20"/>
        </w:rPr>
        <w:t>1</w:t>
      </w:r>
      <w:r w:rsidR="003F256C">
        <w:rPr>
          <w:rFonts w:ascii="Book Antiqua" w:hAnsi="Book Antiqua"/>
          <w:b/>
          <w:i/>
          <w:sz w:val="20"/>
        </w:rPr>
        <w:t xml:space="preserve"> de la Dirección de Gestión Humana</w:t>
      </w:r>
      <w:r w:rsidR="009F434A">
        <w:rPr>
          <w:rFonts w:ascii="Book Antiqua" w:hAnsi="Book Antiqua"/>
          <w:b/>
          <w:i/>
          <w:sz w:val="20"/>
        </w:rPr>
        <w:t>.</w:t>
      </w:r>
    </w:p>
    <w:p w14:paraId="54CCCDD8" w14:textId="71FDCC7A" w:rsidR="009A357C" w:rsidRPr="00410ED4" w:rsidRDefault="00F654E2" w:rsidP="000F0F39">
      <w:pPr>
        <w:jc w:val="both"/>
        <w:rPr>
          <w:rFonts w:ascii="Book Antiqua" w:hAnsi="Book Antiqua"/>
        </w:rPr>
      </w:pPr>
      <w:r>
        <w:rPr>
          <w:rFonts w:ascii="Book Antiqua" w:hAnsi="Book Antiqua"/>
        </w:rPr>
        <w:t>Los</w:t>
      </w:r>
      <w:r w:rsidR="0023248A" w:rsidRPr="0023248A">
        <w:rPr>
          <w:rFonts w:ascii="Book Antiqua" w:hAnsi="Book Antiqua"/>
        </w:rPr>
        <w:t xml:space="preserve"> despachos </w:t>
      </w:r>
      <w:r>
        <w:rPr>
          <w:rFonts w:ascii="Book Antiqua" w:hAnsi="Book Antiqua"/>
        </w:rPr>
        <w:t xml:space="preserve">con mayor cantidad de personas juzgadoras </w:t>
      </w:r>
      <w:r w:rsidR="00C42022" w:rsidRPr="000C5306">
        <w:rPr>
          <w:rFonts w:ascii="Book Antiqua" w:hAnsi="Book Antiqua"/>
        </w:rPr>
        <w:t>corresponden</w:t>
      </w:r>
      <w:r w:rsidR="0023248A" w:rsidRPr="0023248A">
        <w:rPr>
          <w:rFonts w:ascii="Book Antiqua" w:hAnsi="Book Antiqua"/>
        </w:rPr>
        <w:t xml:space="preserve"> al </w:t>
      </w:r>
      <w:r w:rsidR="00766328" w:rsidRPr="003D214D">
        <w:rPr>
          <w:rFonts w:ascii="Book Antiqua" w:eastAsia="Times New Roman" w:hAnsi="Book Antiqua" w:cs="Times New Roman"/>
          <w:lang w:eastAsia="es-CR"/>
        </w:rPr>
        <w:t>Tribunal de Apelación Civil y Trabajo de Alajuela</w:t>
      </w:r>
      <w:r w:rsidR="00766328">
        <w:rPr>
          <w:rFonts w:ascii="Book Antiqua" w:eastAsia="Times New Roman" w:hAnsi="Book Antiqua" w:cs="Times New Roman"/>
          <w:lang w:eastAsia="es-CR"/>
        </w:rPr>
        <w:t xml:space="preserve"> </w:t>
      </w:r>
      <w:r w:rsidR="0023248A" w:rsidRPr="000C5306">
        <w:rPr>
          <w:rFonts w:ascii="Book Antiqua" w:eastAsia="Times New Roman" w:hAnsi="Book Antiqua" w:cs="Times New Roman"/>
          <w:lang w:eastAsia="es-CR"/>
        </w:rPr>
        <w:t>con seis person</w:t>
      </w:r>
      <w:r w:rsidR="0023248A" w:rsidRPr="0023248A">
        <w:rPr>
          <w:rFonts w:ascii="Book Antiqua" w:eastAsia="Times New Roman" w:hAnsi="Book Antiqua" w:cs="Times New Roman"/>
          <w:lang w:eastAsia="es-CR"/>
        </w:rPr>
        <w:t xml:space="preserve">as y </w:t>
      </w:r>
      <w:r w:rsidR="00766328" w:rsidRPr="008A4560">
        <w:rPr>
          <w:rFonts w:ascii="Book Antiqua" w:eastAsia="Times New Roman" w:hAnsi="Book Antiqua" w:cs="Times New Roman"/>
          <w:lang w:eastAsia="es-CR"/>
        </w:rPr>
        <w:t>Tribunal Primer Circuito Judicial de la Zona Atlántica</w:t>
      </w:r>
      <w:r w:rsidR="00766328" w:rsidRPr="000C5306">
        <w:rPr>
          <w:rFonts w:ascii="Book Antiqua" w:eastAsia="Times New Roman" w:hAnsi="Book Antiqua" w:cs="Times New Roman"/>
          <w:lang w:eastAsia="es-CR"/>
        </w:rPr>
        <w:t xml:space="preserve"> </w:t>
      </w:r>
      <w:r w:rsidR="0023248A" w:rsidRPr="000C5306">
        <w:rPr>
          <w:rFonts w:ascii="Book Antiqua" w:eastAsia="Times New Roman" w:hAnsi="Book Antiqua" w:cs="Times New Roman"/>
          <w:lang w:eastAsia="es-CR"/>
        </w:rPr>
        <w:t>c</w:t>
      </w:r>
      <w:r w:rsidR="0023248A" w:rsidRPr="0023248A">
        <w:rPr>
          <w:rFonts w:ascii="Book Antiqua" w:eastAsia="Times New Roman" w:hAnsi="Book Antiqua" w:cs="Times New Roman"/>
          <w:lang w:eastAsia="es-CR"/>
        </w:rPr>
        <w:t>on cuatro personas</w:t>
      </w:r>
      <w:r w:rsidR="00416D61">
        <w:rPr>
          <w:rFonts w:ascii="Book Antiqua" w:eastAsia="Times New Roman" w:hAnsi="Book Antiqua" w:cs="Times New Roman"/>
          <w:lang w:eastAsia="es-CR"/>
        </w:rPr>
        <w:t xml:space="preserve"> (se hace la salvedad que mediante oficio 4</w:t>
      </w:r>
      <w:r w:rsidR="00DD3B81">
        <w:rPr>
          <w:rFonts w:ascii="Book Antiqua" w:eastAsia="Times New Roman" w:hAnsi="Book Antiqua" w:cs="Times New Roman"/>
          <w:lang w:eastAsia="es-CR"/>
        </w:rPr>
        <w:t>7</w:t>
      </w:r>
      <w:r w:rsidR="00416D61">
        <w:rPr>
          <w:rFonts w:ascii="Book Antiqua" w:eastAsia="Times New Roman" w:hAnsi="Book Antiqua" w:cs="Times New Roman"/>
          <w:lang w:eastAsia="es-CR"/>
        </w:rPr>
        <w:t xml:space="preserve">2-PLA-MI-2021 se </w:t>
      </w:r>
      <w:r w:rsidR="00CB40A4">
        <w:rPr>
          <w:rFonts w:ascii="Book Antiqua" w:eastAsia="Times New Roman" w:hAnsi="Book Antiqua" w:cs="Times New Roman"/>
          <w:lang w:eastAsia="es-CR"/>
        </w:rPr>
        <w:t>recomendó</w:t>
      </w:r>
      <w:r w:rsidR="00416D61">
        <w:rPr>
          <w:rFonts w:ascii="Book Antiqua" w:eastAsia="Times New Roman" w:hAnsi="Book Antiqua" w:cs="Times New Roman"/>
          <w:lang w:eastAsia="es-CR"/>
        </w:rPr>
        <w:t xml:space="preserve"> mantener el </w:t>
      </w:r>
      <w:r w:rsidR="00416D61" w:rsidRPr="0049683C">
        <w:rPr>
          <w:rFonts w:ascii="Book Antiqua" w:eastAsia="Times New Roman" w:hAnsi="Book Antiqua" w:cs="Times New Roman"/>
          <w:lang w:eastAsia="es-CR"/>
        </w:rPr>
        <w:t xml:space="preserve">tribunal con 3 plazas como plan de trabajo hasta diciembre 2021, </w:t>
      </w:r>
      <w:r w:rsidR="000F0F39">
        <w:rPr>
          <w:rFonts w:ascii="Book Antiqua" w:eastAsia="Times New Roman" w:hAnsi="Book Antiqua" w:cs="Times New Roman"/>
          <w:lang w:eastAsia="es-CR"/>
        </w:rPr>
        <w:t xml:space="preserve">oficio aprobado por Corte Plena en sesión </w:t>
      </w:r>
      <w:r w:rsidR="000F0F39" w:rsidRPr="000F0F39">
        <w:rPr>
          <w:rFonts w:ascii="Book Antiqua" w:eastAsia="Times New Roman" w:hAnsi="Book Antiqua" w:cs="Times New Roman"/>
          <w:lang w:eastAsia="es-CR"/>
        </w:rPr>
        <w:t xml:space="preserve">23-2021 celebrada el 07 de junio del 2021, </w:t>
      </w:r>
      <w:r w:rsidR="000F0F39">
        <w:rPr>
          <w:rFonts w:ascii="Book Antiqua" w:eastAsia="Times New Roman" w:hAnsi="Book Antiqua" w:cs="Times New Roman"/>
          <w:lang w:eastAsia="es-CR"/>
        </w:rPr>
        <w:t>artículo</w:t>
      </w:r>
      <w:r w:rsidR="000F0F39" w:rsidRPr="000F0F39">
        <w:rPr>
          <w:rFonts w:ascii="Book Antiqua" w:eastAsia="Times New Roman" w:hAnsi="Book Antiqua" w:cs="Times New Roman"/>
          <w:lang w:eastAsia="es-CR"/>
        </w:rPr>
        <w:t xml:space="preserve"> XXI</w:t>
      </w:r>
      <w:r w:rsidR="00416D61" w:rsidRPr="008744A3">
        <w:rPr>
          <w:rFonts w:ascii="Book Antiqua" w:eastAsia="Times New Roman" w:hAnsi="Book Antiqua" w:cs="Times New Roman"/>
          <w:lang w:eastAsia="es-CR"/>
        </w:rPr>
        <w:t>)</w:t>
      </w:r>
      <w:r w:rsidR="00C25005" w:rsidRPr="0049683C">
        <w:rPr>
          <w:rFonts w:ascii="Book Antiqua" w:eastAsia="Times New Roman" w:hAnsi="Book Antiqua" w:cs="Times New Roman"/>
          <w:lang w:eastAsia="es-CR"/>
        </w:rPr>
        <w:t>. Asimismo,</w:t>
      </w:r>
      <w:r w:rsidR="0023248A" w:rsidRPr="0049683C">
        <w:rPr>
          <w:rFonts w:ascii="Book Antiqua" w:eastAsia="Times New Roman" w:hAnsi="Book Antiqua" w:cs="Times New Roman"/>
          <w:lang w:eastAsia="es-CR"/>
        </w:rPr>
        <w:t xml:space="preserve"> es importante indicar </w:t>
      </w:r>
      <w:r w:rsidR="003E4C0B" w:rsidRPr="0049683C">
        <w:rPr>
          <w:rFonts w:ascii="Book Antiqua" w:eastAsia="Times New Roman" w:hAnsi="Book Antiqua" w:cs="Times New Roman"/>
          <w:lang w:eastAsia="es-CR"/>
        </w:rPr>
        <w:t>que</w:t>
      </w:r>
      <w:r w:rsidR="00416D61" w:rsidRPr="002E1C90">
        <w:rPr>
          <w:rFonts w:ascii="Book Antiqua" w:eastAsia="Times New Roman" w:hAnsi="Book Antiqua" w:cs="Times New Roman"/>
          <w:lang w:eastAsia="es-CR"/>
        </w:rPr>
        <w:t xml:space="preserve"> cada plaza de Jueza o Juez tiene su especialidad, sin embargo, al ser nombrados en una oficina mixta deben conocer de ambas materias, las plazas laborales tienen como recargo la materia Civil y viceversa, por lo tanto</w:t>
      </w:r>
      <w:r w:rsidR="00755F18">
        <w:rPr>
          <w:rFonts w:ascii="Book Antiqua" w:eastAsia="Times New Roman" w:hAnsi="Book Antiqua" w:cs="Times New Roman"/>
          <w:lang w:eastAsia="es-CR"/>
        </w:rPr>
        <w:t>,</w:t>
      </w:r>
      <w:r w:rsidR="00416D61" w:rsidRPr="002E1C90">
        <w:rPr>
          <w:rFonts w:ascii="Book Antiqua" w:eastAsia="Times New Roman" w:hAnsi="Book Antiqua" w:cs="Times New Roman"/>
          <w:lang w:eastAsia="es-CR"/>
        </w:rPr>
        <w:t xml:space="preserve"> ante</w:t>
      </w:r>
      <w:r w:rsidR="006928CC" w:rsidRPr="0049683C">
        <w:rPr>
          <w:rFonts w:ascii="Book Antiqua" w:eastAsia="Times New Roman" w:hAnsi="Book Antiqua" w:cs="Times New Roman"/>
          <w:lang w:eastAsia="es-CR"/>
        </w:rPr>
        <w:t xml:space="preserve"> c</w:t>
      </w:r>
      <w:r w:rsidR="007518BD" w:rsidRPr="0049683C">
        <w:rPr>
          <w:rFonts w:ascii="Book Antiqua" w:eastAsia="Times New Roman" w:hAnsi="Book Antiqua" w:cs="Times New Roman"/>
          <w:lang w:eastAsia="es-CR"/>
        </w:rPr>
        <w:t>onsulta realizada a las oficinas</w:t>
      </w:r>
      <w:r w:rsidR="003E4C0B" w:rsidRPr="0019160A">
        <w:rPr>
          <w:rFonts w:ascii="Book Antiqua" w:eastAsia="Times New Roman" w:hAnsi="Book Antiqua" w:cs="Times New Roman"/>
          <w:lang w:eastAsia="es-CR"/>
        </w:rPr>
        <w:t xml:space="preserve">, </w:t>
      </w:r>
      <w:r w:rsidR="00416D61" w:rsidRPr="008C7C9A">
        <w:rPr>
          <w:rFonts w:ascii="Book Antiqua" w:eastAsia="Times New Roman" w:hAnsi="Book Antiqua" w:cs="Times New Roman"/>
          <w:lang w:eastAsia="es-CR"/>
        </w:rPr>
        <w:t xml:space="preserve">indican </w:t>
      </w:r>
      <w:r w:rsidR="006928CC" w:rsidRPr="0049683C">
        <w:rPr>
          <w:rFonts w:ascii="Book Antiqua" w:eastAsia="Times New Roman" w:hAnsi="Book Antiqua" w:cs="Times New Roman"/>
          <w:lang w:eastAsia="es-CR"/>
        </w:rPr>
        <w:t>distribu</w:t>
      </w:r>
      <w:r w:rsidR="00416D61" w:rsidRPr="008C7C9A">
        <w:rPr>
          <w:rFonts w:ascii="Book Antiqua" w:eastAsia="Times New Roman" w:hAnsi="Book Antiqua" w:cs="Times New Roman"/>
          <w:lang w:eastAsia="es-CR"/>
        </w:rPr>
        <w:t xml:space="preserve">ir </w:t>
      </w:r>
      <w:r w:rsidR="006928CC" w:rsidRPr="0049683C">
        <w:rPr>
          <w:rFonts w:ascii="Book Antiqua" w:eastAsia="Times New Roman" w:hAnsi="Book Antiqua" w:cs="Times New Roman"/>
          <w:lang w:eastAsia="es-CR"/>
        </w:rPr>
        <w:t>a</w:t>
      </w:r>
      <w:r w:rsidR="0023248A" w:rsidRPr="0049683C">
        <w:rPr>
          <w:rFonts w:ascii="Book Antiqua" w:eastAsia="Times New Roman" w:hAnsi="Book Antiqua" w:cs="Times New Roman"/>
          <w:lang w:eastAsia="es-CR"/>
        </w:rPr>
        <w:t xml:space="preserve"> </w:t>
      </w:r>
      <w:r w:rsidR="00C25005" w:rsidRPr="0049683C">
        <w:rPr>
          <w:rFonts w:ascii="Book Antiqua" w:hAnsi="Book Antiqua"/>
        </w:rPr>
        <w:t xml:space="preserve">las personas juzgadoras </w:t>
      </w:r>
      <w:r w:rsidR="006928CC" w:rsidRPr="0019160A">
        <w:rPr>
          <w:rFonts w:ascii="Book Antiqua" w:hAnsi="Book Antiqua"/>
        </w:rPr>
        <w:t>de manera equitativa,</w:t>
      </w:r>
      <w:r w:rsidR="00C25005" w:rsidRPr="008744A3">
        <w:rPr>
          <w:rFonts w:ascii="Book Antiqua" w:hAnsi="Book Antiqua"/>
        </w:rPr>
        <w:t xml:space="preserve"> tanto la materia Civil y Trabajo por igual</w:t>
      </w:r>
      <w:r w:rsidR="006928CC" w:rsidRPr="008744A3">
        <w:rPr>
          <w:rFonts w:ascii="Book Antiqua" w:hAnsi="Book Antiqua"/>
        </w:rPr>
        <w:t xml:space="preserve">. </w:t>
      </w:r>
    </w:p>
    <w:bookmarkEnd w:id="5"/>
    <w:p w14:paraId="4DAEB038" w14:textId="262E8422" w:rsidR="00622D93" w:rsidRPr="00410ED4" w:rsidRDefault="00622D93" w:rsidP="005217EE">
      <w:pPr>
        <w:jc w:val="both"/>
        <w:rPr>
          <w:rFonts w:ascii="Book Antiqua" w:hAnsi="Book Antiqua"/>
        </w:rPr>
      </w:pPr>
    </w:p>
    <w:p w14:paraId="4E6A77D6" w14:textId="188C1AF2" w:rsidR="003D6AF3" w:rsidRPr="00AA330A" w:rsidRDefault="008B3408" w:rsidP="0005645E">
      <w:pPr>
        <w:pStyle w:val="Ttulo2"/>
      </w:pPr>
      <w:r w:rsidRPr="00410ED4">
        <w:lastRenderedPageBreak/>
        <w:t>Análisis de cargas de trabajo</w:t>
      </w:r>
    </w:p>
    <w:p w14:paraId="0C3F916D" w14:textId="01858947" w:rsidR="004C6019" w:rsidRDefault="00CF4841" w:rsidP="009C259C">
      <w:pPr>
        <w:pStyle w:val="Ttulo3"/>
        <w:numPr>
          <w:ilvl w:val="1"/>
          <w:numId w:val="1"/>
        </w:numPr>
        <w:jc w:val="both"/>
        <w:rPr>
          <w:rFonts w:ascii="Book Antiqua" w:hAnsi="Book Antiqua"/>
          <w:b/>
          <w:color w:val="000000" w:themeColor="text1"/>
          <w:szCs w:val="22"/>
        </w:rPr>
      </w:pPr>
      <w:r w:rsidRPr="00410ED4">
        <w:rPr>
          <w:rFonts w:ascii="Book Antiqua" w:hAnsi="Book Antiqua"/>
          <w:b/>
          <w:color w:val="000000" w:themeColor="text1"/>
          <w:szCs w:val="22"/>
        </w:rPr>
        <w:t xml:space="preserve">Tribunales de Apelación Civil y </w:t>
      </w:r>
      <w:r w:rsidR="008C7C9A">
        <w:rPr>
          <w:rFonts w:ascii="Book Antiqua" w:hAnsi="Book Antiqua"/>
          <w:b/>
          <w:color w:val="000000" w:themeColor="text1"/>
          <w:szCs w:val="22"/>
        </w:rPr>
        <w:t xml:space="preserve">de </w:t>
      </w:r>
      <w:r w:rsidRPr="00410ED4">
        <w:rPr>
          <w:rFonts w:ascii="Book Antiqua" w:hAnsi="Book Antiqua"/>
          <w:b/>
          <w:color w:val="000000" w:themeColor="text1"/>
          <w:szCs w:val="22"/>
        </w:rPr>
        <w:t xml:space="preserve">Trabajo </w:t>
      </w:r>
      <w:r w:rsidR="00416D61">
        <w:rPr>
          <w:rFonts w:ascii="Book Antiqua" w:hAnsi="Book Antiqua"/>
          <w:b/>
          <w:color w:val="000000" w:themeColor="text1"/>
          <w:szCs w:val="22"/>
        </w:rPr>
        <w:t>competentes en ambas materias</w:t>
      </w:r>
      <w:r w:rsidR="006C17E6">
        <w:rPr>
          <w:rFonts w:ascii="Book Antiqua" w:hAnsi="Book Antiqua"/>
          <w:b/>
          <w:color w:val="000000" w:themeColor="text1"/>
          <w:szCs w:val="22"/>
        </w:rPr>
        <w:t xml:space="preserve"> </w:t>
      </w:r>
      <w:r w:rsidR="00BD2212">
        <w:rPr>
          <w:rFonts w:ascii="Book Antiqua" w:hAnsi="Book Antiqua"/>
          <w:b/>
          <w:color w:val="000000" w:themeColor="text1"/>
          <w:szCs w:val="22"/>
        </w:rPr>
        <w:t>(Mixto)</w:t>
      </w:r>
    </w:p>
    <w:p w14:paraId="7AF02076" w14:textId="77777777" w:rsidR="00755F18" w:rsidRPr="00755F18" w:rsidRDefault="00755F18" w:rsidP="00755F18"/>
    <w:p w14:paraId="4D0D4721" w14:textId="707706F0" w:rsidR="002B0C53" w:rsidRPr="00A6539C" w:rsidRDefault="003D6AF3" w:rsidP="009C259C">
      <w:pPr>
        <w:pStyle w:val="Ttulo3"/>
        <w:numPr>
          <w:ilvl w:val="2"/>
          <w:numId w:val="1"/>
        </w:numPr>
        <w:rPr>
          <w:rFonts w:ascii="Book Antiqua" w:hAnsi="Book Antiqua"/>
          <w:b/>
          <w:color w:val="000000" w:themeColor="text1"/>
          <w:szCs w:val="22"/>
          <w:u w:val="single"/>
        </w:rPr>
      </w:pPr>
      <w:r w:rsidRPr="00A6539C">
        <w:rPr>
          <w:rFonts w:ascii="Book Antiqua" w:hAnsi="Book Antiqua"/>
          <w:b/>
          <w:color w:val="000000" w:themeColor="text1"/>
          <w:szCs w:val="22"/>
          <w:u w:val="single"/>
        </w:rPr>
        <w:t xml:space="preserve">Casos Entrados </w:t>
      </w:r>
    </w:p>
    <w:p w14:paraId="0C17D1FA" w14:textId="77777777" w:rsidR="003D6AF3" w:rsidRPr="00410ED4" w:rsidRDefault="003D6AF3" w:rsidP="0060505C">
      <w:pPr>
        <w:spacing w:line="276" w:lineRule="auto"/>
        <w:jc w:val="both"/>
        <w:rPr>
          <w:rFonts w:ascii="Book Antiqua" w:hAnsi="Book Antiqua"/>
        </w:rPr>
      </w:pPr>
    </w:p>
    <w:p w14:paraId="1C91A76F" w14:textId="4B578F21" w:rsidR="006D4ADB" w:rsidRDefault="005F4358" w:rsidP="0060505C">
      <w:pPr>
        <w:spacing w:line="276" w:lineRule="auto"/>
        <w:jc w:val="both"/>
        <w:rPr>
          <w:rFonts w:ascii="Book Antiqua" w:hAnsi="Book Antiqua"/>
        </w:rPr>
      </w:pPr>
      <w:r>
        <w:rPr>
          <w:rFonts w:ascii="Book Antiqua" w:hAnsi="Book Antiqua"/>
        </w:rPr>
        <w:t xml:space="preserve">Con la finalidad de identificar la carga de trabajo </w:t>
      </w:r>
      <w:r w:rsidR="00311065">
        <w:rPr>
          <w:rFonts w:ascii="Book Antiqua" w:hAnsi="Book Antiqua"/>
        </w:rPr>
        <w:t>por asuntos entrados</w:t>
      </w:r>
      <w:r w:rsidR="004A6224">
        <w:rPr>
          <w:rFonts w:ascii="Book Antiqua" w:hAnsi="Book Antiqua"/>
        </w:rPr>
        <w:t xml:space="preserve"> de</w:t>
      </w:r>
      <w:r w:rsidR="00311065">
        <w:rPr>
          <w:rFonts w:ascii="Book Antiqua" w:hAnsi="Book Antiqua"/>
        </w:rPr>
        <w:t xml:space="preserve"> los </w:t>
      </w:r>
      <w:r w:rsidR="00311065" w:rsidRPr="00410ED4">
        <w:rPr>
          <w:rFonts w:ascii="Book Antiqua" w:hAnsi="Book Antiqua"/>
        </w:rPr>
        <w:t xml:space="preserve">Tribunales de Apelación Civil y </w:t>
      </w:r>
      <w:r w:rsidR="00416D61">
        <w:rPr>
          <w:rFonts w:ascii="Book Antiqua" w:hAnsi="Book Antiqua"/>
        </w:rPr>
        <w:t xml:space="preserve">de </w:t>
      </w:r>
      <w:r w:rsidR="00311065" w:rsidRPr="00410ED4">
        <w:rPr>
          <w:rFonts w:ascii="Book Antiqua" w:hAnsi="Book Antiqua"/>
        </w:rPr>
        <w:t>Trabajo</w:t>
      </w:r>
      <w:r w:rsidR="00BD2212">
        <w:rPr>
          <w:rFonts w:ascii="Book Antiqua" w:hAnsi="Book Antiqua"/>
        </w:rPr>
        <w:t xml:space="preserve"> (Mixto)</w:t>
      </w:r>
      <w:r w:rsidR="004A6224">
        <w:rPr>
          <w:rFonts w:ascii="Book Antiqua" w:hAnsi="Book Antiqua"/>
        </w:rPr>
        <w:t>, a continuación, se detalla el análisis de los periodos del 2018</w:t>
      </w:r>
      <w:r w:rsidR="003313C7">
        <w:rPr>
          <w:rFonts w:ascii="Book Antiqua" w:hAnsi="Book Antiqua"/>
        </w:rPr>
        <w:t xml:space="preserve">, </w:t>
      </w:r>
      <w:r w:rsidR="004A6224">
        <w:rPr>
          <w:rFonts w:ascii="Book Antiqua" w:hAnsi="Book Antiqua"/>
        </w:rPr>
        <w:t>2019</w:t>
      </w:r>
      <w:r w:rsidR="009F3980">
        <w:rPr>
          <w:rFonts w:ascii="Book Antiqua" w:hAnsi="Book Antiqua"/>
        </w:rPr>
        <w:t>,</w:t>
      </w:r>
      <w:r w:rsidR="003313C7">
        <w:rPr>
          <w:rFonts w:ascii="Book Antiqua" w:hAnsi="Book Antiqua"/>
        </w:rPr>
        <w:t xml:space="preserve"> 2020 y el primer </w:t>
      </w:r>
      <w:r w:rsidR="000F0F39">
        <w:rPr>
          <w:rFonts w:ascii="Book Antiqua" w:hAnsi="Book Antiqua"/>
        </w:rPr>
        <w:t>semestre</w:t>
      </w:r>
      <w:r w:rsidR="003313C7">
        <w:rPr>
          <w:rFonts w:ascii="Book Antiqua" w:hAnsi="Book Antiqua"/>
        </w:rPr>
        <w:t xml:space="preserve"> 2021</w:t>
      </w:r>
      <w:r w:rsidR="00507657">
        <w:rPr>
          <w:rFonts w:ascii="Book Antiqua" w:hAnsi="Book Antiqua"/>
        </w:rPr>
        <w:t>,</w:t>
      </w:r>
      <w:r w:rsidR="009F3980">
        <w:rPr>
          <w:rFonts w:ascii="Book Antiqua" w:hAnsi="Book Antiqua"/>
        </w:rPr>
        <w:t xml:space="preserve"> en</w:t>
      </w:r>
      <w:r w:rsidR="004A6224">
        <w:rPr>
          <w:rFonts w:ascii="Book Antiqua" w:hAnsi="Book Antiqua"/>
        </w:rPr>
        <w:t xml:space="preserve"> los que se obtuvo el siguiente resultado;</w:t>
      </w:r>
    </w:p>
    <w:p w14:paraId="064E5780" w14:textId="77777777" w:rsidR="00D8607B" w:rsidRDefault="00D8607B" w:rsidP="000202F1">
      <w:pPr>
        <w:spacing w:line="276" w:lineRule="auto"/>
        <w:jc w:val="both"/>
        <w:rPr>
          <w:rFonts w:ascii="Book Antiqua" w:hAnsi="Book Antiqua"/>
          <w:color w:val="1F497D" w:themeColor="text2"/>
        </w:rPr>
      </w:pPr>
    </w:p>
    <w:p w14:paraId="7D361F5B" w14:textId="43A860BE" w:rsidR="00DB3347" w:rsidRPr="00410ED4" w:rsidRDefault="00DB3347" w:rsidP="00DB3347">
      <w:pPr>
        <w:keepNext/>
        <w:widowControl w:val="0"/>
        <w:autoSpaceDE w:val="0"/>
        <w:autoSpaceDN w:val="0"/>
        <w:adjustRightInd w:val="0"/>
        <w:spacing w:after="0" w:line="240" w:lineRule="auto"/>
        <w:jc w:val="center"/>
        <w:rPr>
          <w:rFonts w:ascii="Book Antiqua" w:eastAsia="Times New Roman" w:hAnsi="Book Antiqua" w:cs="Arial"/>
          <w:b/>
          <w:bCs/>
          <w:color w:val="1F497D" w:themeColor="text2"/>
          <w:lang w:eastAsia="es-ES"/>
        </w:rPr>
      </w:pPr>
      <w:r w:rsidRPr="00410ED4">
        <w:rPr>
          <w:rFonts w:ascii="Book Antiqua" w:eastAsia="Times New Roman" w:hAnsi="Book Antiqua" w:cs="Arial"/>
          <w:b/>
          <w:bCs/>
          <w:color w:val="1F497D" w:themeColor="text2"/>
          <w:lang w:eastAsia="es-ES"/>
        </w:rPr>
        <w:t xml:space="preserve">Cuadro </w:t>
      </w:r>
      <w:r w:rsidRPr="00410ED4">
        <w:rPr>
          <w:rFonts w:ascii="Book Antiqua" w:eastAsia="Times New Roman" w:hAnsi="Book Antiqua" w:cs="Arial"/>
          <w:b/>
          <w:bCs/>
          <w:color w:val="1F497D" w:themeColor="text2"/>
          <w:lang w:eastAsia="es-ES"/>
        </w:rPr>
        <w:fldChar w:fldCharType="begin"/>
      </w:r>
      <w:r w:rsidRPr="00410ED4">
        <w:rPr>
          <w:rFonts w:ascii="Book Antiqua" w:eastAsia="Times New Roman" w:hAnsi="Book Antiqua" w:cs="Arial"/>
          <w:b/>
          <w:bCs/>
          <w:color w:val="1F497D" w:themeColor="text2"/>
          <w:lang w:eastAsia="es-ES"/>
        </w:rPr>
        <w:instrText xml:space="preserve"> SEQ Cuadro \* ARABIC </w:instrText>
      </w:r>
      <w:r w:rsidRPr="00410ED4">
        <w:rPr>
          <w:rFonts w:ascii="Book Antiqua" w:eastAsia="Times New Roman" w:hAnsi="Book Antiqua" w:cs="Arial"/>
          <w:b/>
          <w:bCs/>
          <w:color w:val="1F497D" w:themeColor="text2"/>
          <w:lang w:eastAsia="es-ES"/>
        </w:rPr>
        <w:fldChar w:fldCharType="separate"/>
      </w:r>
      <w:r>
        <w:rPr>
          <w:rFonts w:ascii="Book Antiqua" w:eastAsia="Times New Roman" w:hAnsi="Book Antiqua" w:cs="Arial"/>
          <w:b/>
          <w:bCs/>
          <w:noProof/>
          <w:color w:val="1F497D" w:themeColor="text2"/>
          <w:lang w:eastAsia="es-ES"/>
        </w:rPr>
        <w:t>2</w:t>
      </w:r>
      <w:r w:rsidRPr="00410ED4">
        <w:rPr>
          <w:rFonts w:ascii="Book Antiqua" w:eastAsia="Times New Roman" w:hAnsi="Book Antiqua" w:cs="Arial"/>
          <w:b/>
          <w:bCs/>
          <w:color w:val="1F497D" w:themeColor="text2"/>
          <w:lang w:eastAsia="es-ES"/>
        </w:rPr>
        <w:fldChar w:fldCharType="end"/>
      </w:r>
    </w:p>
    <w:p w14:paraId="4578ED95" w14:textId="0EB05D6D" w:rsidR="003F7654" w:rsidRDefault="00A14203" w:rsidP="0005645E">
      <w:pPr>
        <w:spacing w:after="0" w:line="240" w:lineRule="auto"/>
        <w:jc w:val="center"/>
        <w:rPr>
          <w:rFonts w:ascii="Book Antiqua" w:eastAsia="Times New Roman" w:hAnsi="Book Antiqua" w:cs="Arial"/>
          <w:b/>
          <w:bCs/>
          <w:color w:val="1F497D" w:themeColor="text2"/>
          <w:lang w:eastAsia="es-ES"/>
        </w:rPr>
      </w:pPr>
      <w:r w:rsidRPr="00410ED4">
        <w:rPr>
          <w:rFonts w:ascii="Book Antiqua" w:eastAsia="Times New Roman" w:hAnsi="Book Antiqua" w:cs="Arial"/>
          <w:b/>
          <w:bCs/>
          <w:color w:val="1F497D" w:themeColor="text2"/>
          <w:lang w:eastAsia="es-ES"/>
        </w:rPr>
        <w:t xml:space="preserve">Carga de trabajo ingresada a los Tribunales de Apelación Civil y </w:t>
      </w:r>
      <w:r w:rsidR="008C7C9A">
        <w:rPr>
          <w:rFonts w:ascii="Book Antiqua" w:eastAsia="Times New Roman" w:hAnsi="Book Antiqua" w:cs="Arial"/>
          <w:b/>
          <w:bCs/>
          <w:color w:val="1F497D" w:themeColor="text2"/>
          <w:lang w:eastAsia="es-ES"/>
        </w:rPr>
        <w:t xml:space="preserve">de </w:t>
      </w:r>
      <w:r w:rsidRPr="00410ED4">
        <w:rPr>
          <w:rFonts w:ascii="Book Antiqua" w:eastAsia="Times New Roman" w:hAnsi="Book Antiqua" w:cs="Arial"/>
          <w:b/>
          <w:bCs/>
          <w:color w:val="1F497D" w:themeColor="text2"/>
          <w:lang w:eastAsia="es-ES"/>
        </w:rPr>
        <w:t>Trabajo</w:t>
      </w:r>
      <w:r w:rsidR="00BD2212">
        <w:rPr>
          <w:rFonts w:ascii="Book Antiqua" w:eastAsia="Times New Roman" w:hAnsi="Book Antiqua" w:cs="Arial"/>
          <w:b/>
          <w:bCs/>
          <w:color w:val="1F497D" w:themeColor="text2"/>
          <w:lang w:eastAsia="es-ES"/>
        </w:rPr>
        <w:t xml:space="preserve"> (Mixto)</w:t>
      </w:r>
    </w:p>
    <w:p w14:paraId="1E0AFAFB" w14:textId="386559CC" w:rsidR="00A14203" w:rsidRDefault="00A14203" w:rsidP="0005645E">
      <w:pPr>
        <w:spacing w:after="0" w:line="240" w:lineRule="auto"/>
        <w:jc w:val="center"/>
        <w:rPr>
          <w:rFonts w:ascii="Book Antiqua" w:eastAsia="Times New Roman" w:hAnsi="Book Antiqua" w:cs="Arial"/>
          <w:b/>
          <w:bCs/>
          <w:color w:val="1F497D" w:themeColor="text2"/>
          <w:lang w:eastAsia="es-ES"/>
        </w:rPr>
      </w:pPr>
      <w:r w:rsidRPr="00410ED4">
        <w:rPr>
          <w:rFonts w:ascii="Book Antiqua" w:eastAsia="Times New Roman" w:hAnsi="Book Antiqua" w:cs="Arial"/>
          <w:b/>
          <w:bCs/>
          <w:color w:val="1F497D" w:themeColor="text2"/>
          <w:lang w:eastAsia="es-ES"/>
        </w:rPr>
        <w:t>Periodo 2018</w:t>
      </w:r>
      <w:r w:rsidR="00056BA8">
        <w:rPr>
          <w:rFonts w:ascii="Book Antiqua" w:eastAsia="Times New Roman" w:hAnsi="Book Antiqua" w:cs="Arial"/>
          <w:b/>
          <w:bCs/>
          <w:color w:val="1F497D" w:themeColor="text2"/>
          <w:lang w:eastAsia="es-ES"/>
        </w:rPr>
        <w:t>,</w:t>
      </w:r>
      <w:r w:rsidR="00F92722">
        <w:rPr>
          <w:rFonts w:ascii="Book Antiqua" w:eastAsia="Times New Roman" w:hAnsi="Book Antiqua" w:cs="Arial"/>
          <w:b/>
          <w:bCs/>
          <w:color w:val="1F497D" w:themeColor="text2"/>
          <w:lang w:eastAsia="es-ES"/>
        </w:rPr>
        <w:t>2019</w:t>
      </w:r>
      <w:r w:rsidR="00056BA8">
        <w:rPr>
          <w:rFonts w:ascii="Book Antiqua" w:eastAsia="Times New Roman" w:hAnsi="Book Antiqua" w:cs="Arial"/>
          <w:b/>
          <w:bCs/>
          <w:color w:val="1F497D" w:themeColor="text2"/>
          <w:lang w:eastAsia="es-ES"/>
        </w:rPr>
        <w:t>,20</w:t>
      </w:r>
      <w:r w:rsidR="002B1F1D">
        <w:rPr>
          <w:rFonts w:ascii="Book Antiqua" w:eastAsia="Times New Roman" w:hAnsi="Book Antiqua" w:cs="Arial"/>
          <w:b/>
          <w:bCs/>
          <w:color w:val="1F497D" w:themeColor="text2"/>
          <w:lang w:eastAsia="es-ES"/>
        </w:rPr>
        <w:t xml:space="preserve">20 </w:t>
      </w:r>
      <w:r w:rsidR="00B50813">
        <w:rPr>
          <w:rFonts w:ascii="Book Antiqua" w:eastAsia="Times New Roman" w:hAnsi="Book Antiqua" w:cs="Arial"/>
          <w:b/>
          <w:bCs/>
          <w:color w:val="1F497D" w:themeColor="text2"/>
          <w:lang w:eastAsia="es-ES"/>
        </w:rPr>
        <w:t>y primer semestre 2021</w:t>
      </w:r>
      <w:r w:rsidR="00F92722">
        <w:rPr>
          <w:rFonts w:ascii="Book Antiqua" w:eastAsia="Times New Roman" w:hAnsi="Book Antiqua" w:cs="Arial"/>
          <w:b/>
          <w:bCs/>
          <w:color w:val="1F497D" w:themeColor="text2"/>
          <w:lang w:eastAsia="es-ES"/>
        </w:rPr>
        <w:t xml:space="preserve"> </w:t>
      </w:r>
    </w:p>
    <w:tbl>
      <w:tblPr>
        <w:tblW w:w="9127"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84"/>
        <w:gridCol w:w="1090"/>
        <w:gridCol w:w="950"/>
        <w:gridCol w:w="781"/>
        <w:gridCol w:w="941"/>
        <w:gridCol w:w="1051"/>
        <w:gridCol w:w="1083"/>
      </w:tblGrid>
      <w:tr w:rsidR="00EB031E" w:rsidRPr="003F353D" w14:paraId="6C0062C0" w14:textId="77777777" w:rsidTr="00EB031E">
        <w:trPr>
          <w:trHeight w:val="2050"/>
        </w:trPr>
        <w:tc>
          <w:tcPr>
            <w:tcW w:w="3584" w:type="dxa"/>
            <w:shd w:val="clear" w:color="000000" w:fill="1F497D"/>
            <w:vAlign w:val="center"/>
            <w:hideMark/>
          </w:tcPr>
          <w:p w14:paraId="50DC9820" w14:textId="77777777" w:rsidR="0090258D" w:rsidRPr="00EB031E" w:rsidRDefault="0090258D" w:rsidP="0090258D">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Despacho</w:t>
            </w:r>
          </w:p>
        </w:tc>
        <w:tc>
          <w:tcPr>
            <w:tcW w:w="1090" w:type="dxa"/>
            <w:shd w:val="clear" w:color="000000" w:fill="1F497D"/>
            <w:vAlign w:val="center"/>
            <w:hideMark/>
          </w:tcPr>
          <w:p w14:paraId="39C4E243" w14:textId="77777777" w:rsidR="0090258D" w:rsidRPr="00EB031E" w:rsidRDefault="0090258D" w:rsidP="0090258D">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 xml:space="preserve">Carga de Trabajo 2018,2019, 2020, I semestre 2021 </w:t>
            </w:r>
            <w:r w:rsidRPr="00EB031E">
              <w:rPr>
                <w:rFonts w:ascii="Book Antiqua" w:eastAsia="Times New Roman" w:hAnsi="Book Antiqua" w:cs="Calibri"/>
                <w:b/>
                <w:bCs/>
                <w:color w:val="FFFFFF"/>
                <w:sz w:val="18"/>
                <w:szCs w:val="18"/>
                <w:lang w:eastAsia="es-CR"/>
              </w:rPr>
              <w:br/>
              <w:t>Materia Civil</w:t>
            </w:r>
          </w:p>
        </w:tc>
        <w:tc>
          <w:tcPr>
            <w:tcW w:w="0" w:type="auto"/>
            <w:shd w:val="clear" w:color="000000" w:fill="1F497D"/>
            <w:vAlign w:val="center"/>
            <w:hideMark/>
          </w:tcPr>
          <w:p w14:paraId="5128E7A0" w14:textId="77777777" w:rsidR="0090258D" w:rsidRPr="00EB031E" w:rsidRDefault="0090258D" w:rsidP="0090258D">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Carga de Trabajo 2018,2019, 2020, I semestre 2021 Materia Trabajo</w:t>
            </w:r>
          </w:p>
        </w:tc>
        <w:tc>
          <w:tcPr>
            <w:tcW w:w="0" w:type="auto"/>
            <w:shd w:val="clear" w:color="000000" w:fill="1F497D"/>
            <w:vAlign w:val="center"/>
            <w:hideMark/>
          </w:tcPr>
          <w:p w14:paraId="294AC350" w14:textId="77777777" w:rsidR="0090258D" w:rsidRPr="00EB031E" w:rsidRDefault="0090258D" w:rsidP="0090258D">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 xml:space="preserve">Carga de Trabajo Total </w:t>
            </w:r>
          </w:p>
        </w:tc>
        <w:tc>
          <w:tcPr>
            <w:tcW w:w="0" w:type="auto"/>
            <w:shd w:val="clear" w:color="000000" w:fill="1F497D"/>
            <w:vAlign w:val="center"/>
            <w:hideMark/>
          </w:tcPr>
          <w:p w14:paraId="343393E7" w14:textId="77777777" w:rsidR="0090258D" w:rsidRPr="00EB031E" w:rsidRDefault="0090258D" w:rsidP="0090258D">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Carga de Trabajo Promedio Mensual</w:t>
            </w:r>
          </w:p>
        </w:tc>
        <w:tc>
          <w:tcPr>
            <w:tcW w:w="949" w:type="dxa"/>
            <w:shd w:val="clear" w:color="000000" w:fill="1F497D"/>
            <w:vAlign w:val="center"/>
            <w:hideMark/>
          </w:tcPr>
          <w:p w14:paraId="39BDD577" w14:textId="77777777" w:rsidR="0090258D" w:rsidRPr="00EB031E" w:rsidRDefault="0090258D" w:rsidP="0090258D">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Cant. Personas Juzgadoras</w:t>
            </w:r>
          </w:p>
        </w:tc>
        <w:tc>
          <w:tcPr>
            <w:tcW w:w="1083" w:type="dxa"/>
            <w:shd w:val="clear" w:color="000000" w:fill="1F497D"/>
            <w:vAlign w:val="center"/>
            <w:hideMark/>
          </w:tcPr>
          <w:p w14:paraId="42B31A2F" w14:textId="77777777" w:rsidR="0090258D" w:rsidRPr="00EB031E" w:rsidRDefault="0090258D" w:rsidP="0090258D">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Carga trabajo promedio Mensual por Juez</w:t>
            </w:r>
          </w:p>
        </w:tc>
      </w:tr>
      <w:tr w:rsidR="00EB031E" w:rsidRPr="003F353D" w14:paraId="3A46B1A5" w14:textId="77777777" w:rsidTr="00EB031E">
        <w:trPr>
          <w:trHeight w:val="330"/>
        </w:trPr>
        <w:tc>
          <w:tcPr>
            <w:tcW w:w="3584" w:type="dxa"/>
            <w:shd w:val="clear" w:color="000000" w:fill="DCE6F1"/>
            <w:noWrap/>
            <w:vAlign w:val="center"/>
            <w:hideMark/>
          </w:tcPr>
          <w:p w14:paraId="65D94C3F" w14:textId="77777777" w:rsidR="0090258D" w:rsidRPr="00EB031E" w:rsidRDefault="0090258D" w:rsidP="0090258D">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 xml:space="preserve">Tribunal Primer Circuito Judicial Zona Sur </w:t>
            </w:r>
          </w:p>
        </w:tc>
        <w:tc>
          <w:tcPr>
            <w:tcW w:w="1090" w:type="dxa"/>
            <w:shd w:val="clear" w:color="000000" w:fill="DCE6F1"/>
            <w:noWrap/>
            <w:vAlign w:val="center"/>
            <w:hideMark/>
          </w:tcPr>
          <w:p w14:paraId="5C4EE753"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1391</w:t>
            </w:r>
          </w:p>
        </w:tc>
        <w:tc>
          <w:tcPr>
            <w:tcW w:w="0" w:type="auto"/>
            <w:shd w:val="clear" w:color="000000" w:fill="DCE6F1"/>
            <w:noWrap/>
            <w:vAlign w:val="center"/>
            <w:hideMark/>
          </w:tcPr>
          <w:p w14:paraId="5A0D3E35"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682</w:t>
            </w:r>
          </w:p>
        </w:tc>
        <w:tc>
          <w:tcPr>
            <w:tcW w:w="0" w:type="auto"/>
            <w:shd w:val="clear" w:color="000000" w:fill="DCE6F1"/>
            <w:noWrap/>
            <w:vAlign w:val="center"/>
            <w:hideMark/>
          </w:tcPr>
          <w:p w14:paraId="4918560A"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2073</w:t>
            </w:r>
          </w:p>
        </w:tc>
        <w:tc>
          <w:tcPr>
            <w:tcW w:w="0" w:type="auto"/>
            <w:shd w:val="clear" w:color="000000" w:fill="DCE6F1"/>
            <w:noWrap/>
            <w:vAlign w:val="center"/>
            <w:hideMark/>
          </w:tcPr>
          <w:p w14:paraId="45A98EDB"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53</w:t>
            </w:r>
          </w:p>
        </w:tc>
        <w:tc>
          <w:tcPr>
            <w:tcW w:w="949" w:type="dxa"/>
            <w:shd w:val="clear" w:color="000000" w:fill="DCE6F1"/>
            <w:noWrap/>
            <w:vAlign w:val="center"/>
            <w:hideMark/>
          </w:tcPr>
          <w:p w14:paraId="14DA3D81"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w:t>
            </w:r>
          </w:p>
        </w:tc>
        <w:tc>
          <w:tcPr>
            <w:tcW w:w="1083" w:type="dxa"/>
            <w:shd w:val="clear" w:color="000000" w:fill="DCE6F1"/>
            <w:noWrap/>
            <w:vAlign w:val="center"/>
            <w:hideMark/>
          </w:tcPr>
          <w:p w14:paraId="13763E74"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18</w:t>
            </w:r>
          </w:p>
        </w:tc>
      </w:tr>
      <w:tr w:rsidR="0090258D" w:rsidRPr="003F353D" w14:paraId="5E5DDB5A" w14:textId="77777777" w:rsidTr="00EB031E">
        <w:trPr>
          <w:trHeight w:val="330"/>
        </w:trPr>
        <w:tc>
          <w:tcPr>
            <w:tcW w:w="3584" w:type="dxa"/>
            <w:shd w:val="clear" w:color="auto" w:fill="auto"/>
            <w:noWrap/>
            <w:vAlign w:val="center"/>
            <w:hideMark/>
          </w:tcPr>
          <w:p w14:paraId="4519E80C" w14:textId="77777777" w:rsidR="0090258D" w:rsidRPr="00EB031E" w:rsidRDefault="0090258D" w:rsidP="0090258D">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 xml:space="preserve">Tribunal de Apelación Civil y Trabajo de Alajuela </w:t>
            </w:r>
          </w:p>
        </w:tc>
        <w:tc>
          <w:tcPr>
            <w:tcW w:w="1090" w:type="dxa"/>
            <w:shd w:val="clear" w:color="auto" w:fill="auto"/>
            <w:noWrap/>
            <w:vAlign w:val="center"/>
            <w:hideMark/>
          </w:tcPr>
          <w:p w14:paraId="0DE7FDC9"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3707</w:t>
            </w:r>
          </w:p>
        </w:tc>
        <w:tc>
          <w:tcPr>
            <w:tcW w:w="0" w:type="auto"/>
            <w:shd w:val="clear" w:color="auto" w:fill="auto"/>
            <w:noWrap/>
            <w:vAlign w:val="center"/>
            <w:hideMark/>
          </w:tcPr>
          <w:p w14:paraId="17FFD14D"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1974</w:t>
            </w:r>
          </w:p>
        </w:tc>
        <w:tc>
          <w:tcPr>
            <w:tcW w:w="0" w:type="auto"/>
            <w:shd w:val="clear" w:color="auto" w:fill="auto"/>
            <w:noWrap/>
            <w:vAlign w:val="center"/>
            <w:hideMark/>
          </w:tcPr>
          <w:p w14:paraId="4C0D432D"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5681</w:t>
            </w:r>
          </w:p>
        </w:tc>
        <w:tc>
          <w:tcPr>
            <w:tcW w:w="0" w:type="auto"/>
            <w:shd w:val="clear" w:color="auto" w:fill="auto"/>
            <w:noWrap/>
            <w:vAlign w:val="center"/>
            <w:hideMark/>
          </w:tcPr>
          <w:p w14:paraId="33D6E4C6"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145</w:t>
            </w:r>
          </w:p>
        </w:tc>
        <w:tc>
          <w:tcPr>
            <w:tcW w:w="949" w:type="dxa"/>
            <w:shd w:val="clear" w:color="auto" w:fill="auto"/>
            <w:noWrap/>
            <w:vAlign w:val="center"/>
            <w:hideMark/>
          </w:tcPr>
          <w:p w14:paraId="56134816"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w:t>
            </w:r>
          </w:p>
        </w:tc>
        <w:tc>
          <w:tcPr>
            <w:tcW w:w="1083" w:type="dxa"/>
            <w:shd w:val="clear" w:color="auto" w:fill="auto"/>
            <w:noWrap/>
            <w:vAlign w:val="center"/>
            <w:hideMark/>
          </w:tcPr>
          <w:p w14:paraId="3CC14AC2"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24</w:t>
            </w:r>
          </w:p>
        </w:tc>
      </w:tr>
      <w:tr w:rsidR="00EB031E" w:rsidRPr="003F353D" w14:paraId="056B0E57" w14:textId="77777777" w:rsidTr="00EB031E">
        <w:trPr>
          <w:trHeight w:val="330"/>
        </w:trPr>
        <w:tc>
          <w:tcPr>
            <w:tcW w:w="3584" w:type="dxa"/>
            <w:shd w:val="clear" w:color="000000" w:fill="DCE6F1"/>
            <w:noWrap/>
            <w:vAlign w:val="center"/>
            <w:hideMark/>
          </w:tcPr>
          <w:p w14:paraId="51B4F498" w14:textId="77777777" w:rsidR="0090258D" w:rsidRPr="00EB031E" w:rsidRDefault="0090258D" w:rsidP="0090258D">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Tribunal de Apelación Civil y Trabajo de Cartago</w:t>
            </w:r>
          </w:p>
        </w:tc>
        <w:tc>
          <w:tcPr>
            <w:tcW w:w="1090" w:type="dxa"/>
            <w:shd w:val="clear" w:color="000000" w:fill="DCE6F1"/>
            <w:noWrap/>
            <w:vAlign w:val="center"/>
            <w:hideMark/>
          </w:tcPr>
          <w:p w14:paraId="26185073"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1218</w:t>
            </w:r>
          </w:p>
        </w:tc>
        <w:tc>
          <w:tcPr>
            <w:tcW w:w="0" w:type="auto"/>
            <w:shd w:val="clear" w:color="000000" w:fill="DCE6F1"/>
            <w:noWrap/>
            <w:vAlign w:val="center"/>
            <w:hideMark/>
          </w:tcPr>
          <w:p w14:paraId="0DD30E78"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1437</w:t>
            </w:r>
          </w:p>
        </w:tc>
        <w:tc>
          <w:tcPr>
            <w:tcW w:w="0" w:type="auto"/>
            <w:shd w:val="clear" w:color="000000" w:fill="DCE6F1"/>
            <w:noWrap/>
            <w:vAlign w:val="center"/>
            <w:hideMark/>
          </w:tcPr>
          <w:p w14:paraId="74DEB807"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2655</w:t>
            </w:r>
          </w:p>
        </w:tc>
        <w:tc>
          <w:tcPr>
            <w:tcW w:w="0" w:type="auto"/>
            <w:shd w:val="clear" w:color="000000" w:fill="DCE6F1"/>
            <w:noWrap/>
            <w:vAlign w:val="center"/>
            <w:hideMark/>
          </w:tcPr>
          <w:p w14:paraId="1F46EBB7"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68</w:t>
            </w:r>
          </w:p>
        </w:tc>
        <w:tc>
          <w:tcPr>
            <w:tcW w:w="949" w:type="dxa"/>
            <w:shd w:val="clear" w:color="000000" w:fill="DCE6F1"/>
            <w:noWrap/>
            <w:vAlign w:val="center"/>
            <w:hideMark/>
          </w:tcPr>
          <w:p w14:paraId="7ECD9907"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w:t>
            </w:r>
          </w:p>
        </w:tc>
        <w:tc>
          <w:tcPr>
            <w:tcW w:w="1083" w:type="dxa"/>
            <w:shd w:val="clear" w:color="000000" w:fill="DCE6F1"/>
            <w:noWrap/>
            <w:vAlign w:val="center"/>
            <w:hideMark/>
          </w:tcPr>
          <w:p w14:paraId="3074A1AC"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23</w:t>
            </w:r>
          </w:p>
        </w:tc>
      </w:tr>
      <w:tr w:rsidR="0090258D" w:rsidRPr="003F353D" w14:paraId="35D9B8C8" w14:textId="77777777" w:rsidTr="00EB031E">
        <w:trPr>
          <w:trHeight w:val="330"/>
        </w:trPr>
        <w:tc>
          <w:tcPr>
            <w:tcW w:w="3584" w:type="dxa"/>
            <w:shd w:val="clear" w:color="auto" w:fill="auto"/>
            <w:noWrap/>
            <w:vAlign w:val="center"/>
            <w:hideMark/>
          </w:tcPr>
          <w:p w14:paraId="7711E4B0" w14:textId="77777777" w:rsidR="0090258D" w:rsidRPr="00EB031E" w:rsidRDefault="0090258D" w:rsidP="0090258D">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Tribunal de Apelación Civil y Trabajo de Heredia</w:t>
            </w:r>
          </w:p>
        </w:tc>
        <w:tc>
          <w:tcPr>
            <w:tcW w:w="1090" w:type="dxa"/>
            <w:shd w:val="clear" w:color="auto" w:fill="auto"/>
            <w:noWrap/>
            <w:vAlign w:val="center"/>
            <w:hideMark/>
          </w:tcPr>
          <w:p w14:paraId="047F1FEA"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1534</w:t>
            </w:r>
          </w:p>
        </w:tc>
        <w:tc>
          <w:tcPr>
            <w:tcW w:w="0" w:type="auto"/>
            <w:shd w:val="clear" w:color="auto" w:fill="auto"/>
            <w:noWrap/>
            <w:vAlign w:val="center"/>
            <w:hideMark/>
          </w:tcPr>
          <w:p w14:paraId="1BF7FDBF"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1419</w:t>
            </w:r>
          </w:p>
        </w:tc>
        <w:tc>
          <w:tcPr>
            <w:tcW w:w="0" w:type="auto"/>
            <w:shd w:val="clear" w:color="auto" w:fill="auto"/>
            <w:noWrap/>
            <w:vAlign w:val="center"/>
            <w:hideMark/>
          </w:tcPr>
          <w:p w14:paraId="13CE4289"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2953</w:t>
            </w:r>
          </w:p>
        </w:tc>
        <w:tc>
          <w:tcPr>
            <w:tcW w:w="0" w:type="auto"/>
            <w:shd w:val="clear" w:color="auto" w:fill="auto"/>
            <w:noWrap/>
            <w:vAlign w:val="center"/>
            <w:hideMark/>
          </w:tcPr>
          <w:p w14:paraId="6ADB3372"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75</w:t>
            </w:r>
          </w:p>
        </w:tc>
        <w:tc>
          <w:tcPr>
            <w:tcW w:w="949" w:type="dxa"/>
            <w:shd w:val="clear" w:color="auto" w:fill="auto"/>
            <w:noWrap/>
            <w:vAlign w:val="center"/>
            <w:hideMark/>
          </w:tcPr>
          <w:p w14:paraId="765186A9"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w:t>
            </w:r>
          </w:p>
        </w:tc>
        <w:tc>
          <w:tcPr>
            <w:tcW w:w="1083" w:type="dxa"/>
            <w:shd w:val="clear" w:color="auto" w:fill="auto"/>
            <w:noWrap/>
            <w:vAlign w:val="center"/>
            <w:hideMark/>
          </w:tcPr>
          <w:p w14:paraId="30A7F11D" w14:textId="77777777" w:rsidR="0090258D" w:rsidRPr="00EB031E" w:rsidRDefault="0090258D" w:rsidP="0090258D">
            <w:pPr>
              <w:spacing w:after="0" w:line="240" w:lineRule="auto"/>
              <w:jc w:val="center"/>
              <w:rPr>
                <w:rFonts w:ascii="Book Antiqua" w:eastAsia="Times New Roman" w:hAnsi="Book Antiqua" w:cs="Calibri"/>
                <w:b/>
                <w:bCs/>
                <w:color w:val="000000"/>
                <w:sz w:val="18"/>
                <w:szCs w:val="18"/>
                <w:u w:val="single"/>
                <w:lang w:eastAsia="es-CR"/>
              </w:rPr>
            </w:pPr>
            <w:r w:rsidRPr="00EB031E">
              <w:rPr>
                <w:rFonts w:ascii="Book Antiqua" w:eastAsia="Times New Roman" w:hAnsi="Book Antiqua" w:cs="Calibri"/>
                <w:b/>
                <w:bCs/>
                <w:color w:val="000000"/>
                <w:sz w:val="18"/>
                <w:szCs w:val="18"/>
                <w:u w:val="single"/>
                <w:lang w:eastAsia="es-CR"/>
              </w:rPr>
              <w:t>25</w:t>
            </w:r>
          </w:p>
        </w:tc>
      </w:tr>
      <w:tr w:rsidR="00EB031E" w:rsidRPr="003F353D" w14:paraId="164C6493" w14:textId="77777777" w:rsidTr="00EB031E">
        <w:trPr>
          <w:trHeight w:val="330"/>
        </w:trPr>
        <w:tc>
          <w:tcPr>
            <w:tcW w:w="3584" w:type="dxa"/>
            <w:shd w:val="clear" w:color="000000" w:fill="DCE6F1"/>
            <w:noWrap/>
            <w:vAlign w:val="center"/>
            <w:hideMark/>
          </w:tcPr>
          <w:p w14:paraId="7C92A2ED" w14:textId="77777777" w:rsidR="0090258D" w:rsidRPr="00EB031E" w:rsidRDefault="0090258D" w:rsidP="0090258D">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 xml:space="preserve">Tribunal Primer Circuito Judicial de Guanacaste (Liberia) </w:t>
            </w:r>
          </w:p>
        </w:tc>
        <w:tc>
          <w:tcPr>
            <w:tcW w:w="1090" w:type="dxa"/>
            <w:shd w:val="clear" w:color="000000" w:fill="DCE6F1"/>
            <w:noWrap/>
            <w:vAlign w:val="center"/>
            <w:hideMark/>
          </w:tcPr>
          <w:p w14:paraId="208148DF"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1018</w:t>
            </w:r>
          </w:p>
        </w:tc>
        <w:tc>
          <w:tcPr>
            <w:tcW w:w="0" w:type="auto"/>
            <w:shd w:val="clear" w:color="000000" w:fill="DCE6F1"/>
            <w:noWrap/>
            <w:vAlign w:val="center"/>
            <w:hideMark/>
          </w:tcPr>
          <w:p w14:paraId="1AD566B6"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879</w:t>
            </w:r>
          </w:p>
        </w:tc>
        <w:tc>
          <w:tcPr>
            <w:tcW w:w="0" w:type="auto"/>
            <w:shd w:val="clear" w:color="000000" w:fill="DCE6F1"/>
            <w:noWrap/>
            <w:vAlign w:val="center"/>
            <w:hideMark/>
          </w:tcPr>
          <w:p w14:paraId="07D2037A"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1897</w:t>
            </w:r>
          </w:p>
        </w:tc>
        <w:tc>
          <w:tcPr>
            <w:tcW w:w="0" w:type="auto"/>
            <w:shd w:val="clear" w:color="000000" w:fill="DCE6F1"/>
            <w:noWrap/>
            <w:vAlign w:val="center"/>
            <w:hideMark/>
          </w:tcPr>
          <w:p w14:paraId="1EDC0B02"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48</w:t>
            </w:r>
          </w:p>
        </w:tc>
        <w:tc>
          <w:tcPr>
            <w:tcW w:w="949" w:type="dxa"/>
            <w:shd w:val="clear" w:color="000000" w:fill="DCE6F1"/>
            <w:noWrap/>
            <w:vAlign w:val="center"/>
            <w:hideMark/>
          </w:tcPr>
          <w:p w14:paraId="7A9EFB3A"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w:t>
            </w:r>
          </w:p>
        </w:tc>
        <w:tc>
          <w:tcPr>
            <w:tcW w:w="1083" w:type="dxa"/>
            <w:shd w:val="clear" w:color="000000" w:fill="DCE6F1"/>
            <w:noWrap/>
            <w:vAlign w:val="center"/>
            <w:hideMark/>
          </w:tcPr>
          <w:p w14:paraId="4018E66B"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16</w:t>
            </w:r>
          </w:p>
        </w:tc>
      </w:tr>
      <w:tr w:rsidR="0090258D" w:rsidRPr="003F353D" w14:paraId="41B3CBA3" w14:textId="77777777" w:rsidTr="00EB031E">
        <w:trPr>
          <w:trHeight w:val="330"/>
        </w:trPr>
        <w:tc>
          <w:tcPr>
            <w:tcW w:w="3584" w:type="dxa"/>
            <w:shd w:val="clear" w:color="auto" w:fill="auto"/>
            <w:noWrap/>
            <w:vAlign w:val="center"/>
            <w:hideMark/>
          </w:tcPr>
          <w:p w14:paraId="0BBB1CBE" w14:textId="77777777" w:rsidR="0090258D" w:rsidRPr="00EB031E" w:rsidRDefault="0090258D" w:rsidP="0090258D">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 xml:space="preserve">Tribunal de Apelación Civil y Trabajo de Puntarenas  </w:t>
            </w:r>
          </w:p>
        </w:tc>
        <w:tc>
          <w:tcPr>
            <w:tcW w:w="1090" w:type="dxa"/>
            <w:shd w:val="clear" w:color="auto" w:fill="auto"/>
            <w:noWrap/>
            <w:vAlign w:val="center"/>
            <w:hideMark/>
          </w:tcPr>
          <w:p w14:paraId="244A677D"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852</w:t>
            </w:r>
          </w:p>
        </w:tc>
        <w:tc>
          <w:tcPr>
            <w:tcW w:w="0" w:type="auto"/>
            <w:shd w:val="clear" w:color="auto" w:fill="auto"/>
            <w:noWrap/>
            <w:vAlign w:val="center"/>
            <w:hideMark/>
          </w:tcPr>
          <w:p w14:paraId="5570DE4E"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767</w:t>
            </w:r>
          </w:p>
        </w:tc>
        <w:tc>
          <w:tcPr>
            <w:tcW w:w="0" w:type="auto"/>
            <w:shd w:val="clear" w:color="auto" w:fill="auto"/>
            <w:noWrap/>
            <w:vAlign w:val="center"/>
            <w:hideMark/>
          </w:tcPr>
          <w:p w14:paraId="660D4381"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1619</w:t>
            </w:r>
          </w:p>
        </w:tc>
        <w:tc>
          <w:tcPr>
            <w:tcW w:w="0" w:type="auto"/>
            <w:shd w:val="clear" w:color="auto" w:fill="auto"/>
            <w:noWrap/>
            <w:vAlign w:val="center"/>
            <w:hideMark/>
          </w:tcPr>
          <w:p w14:paraId="25E39EA8"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41</w:t>
            </w:r>
          </w:p>
        </w:tc>
        <w:tc>
          <w:tcPr>
            <w:tcW w:w="949" w:type="dxa"/>
            <w:shd w:val="clear" w:color="auto" w:fill="auto"/>
            <w:noWrap/>
            <w:vAlign w:val="center"/>
            <w:hideMark/>
          </w:tcPr>
          <w:p w14:paraId="284A5100"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w:t>
            </w:r>
          </w:p>
        </w:tc>
        <w:tc>
          <w:tcPr>
            <w:tcW w:w="1083" w:type="dxa"/>
            <w:shd w:val="clear" w:color="auto" w:fill="auto"/>
            <w:noWrap/>
            <w:vAlign w:val="center"/>
            <w:hideMark/>
          </w:tcPr>
          <w:p w14:paraId="461228CB"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14</w:t>
            </w:r>
          </w:p>
        </w:tc>
      </w:tr>
      <w:tr w:rsidR="00EB031E" w:rsidRPr="003F353D" w14:paraId="1F4C4905" w14:textId="77777777" w:rsidTr="00EB031E">
        <w:trPr>
          <w:trHeight w:val="330"/>
        </w:trPr>
        <w:tc>
          <w:tcPr>
            <w:tcW w:w="3584" w:type="dxa"/>
            <w:shd w:val="clear" w:color="000000" w:fill="DCE6F1"/>
            <w:noWrap/>
            <w:vAlign w:val="center"/>
            <w:hideMark/>
          </w:tcPr>
          <w:p w14:paraId="29980887" w14:textId="77777777" w:rsidR="0090258D" w:rsidRPr="00EB031E" w:rsidRDefault="0090258D" w:rsidP="0090258D">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 xml:space="preserve">Tribunal Primer Circuito Judicial de la Zona Atlántica </w:t>
            </w:r>
          </w:p>
        </w:tc>
        <w:tc>
          <w:tcPr>
            <w:tcW w:w="1090" w:type="dxa"/>
            <w:shd w:val="clear" w:color="000000" w:fill="DCE6F1"/>
            <w:noWrap/>
            <w:vAlign w:val="center"/>
            <w:hideMark/>
          </w:tcPr>
          <w:p w14:paraId="488BF47D"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917</w:t>
            </w:r>
          </w:p>
        </w:tc>
        <w:tc>
          <w:tcPr>
            <w:tcW w:w="0" w:type="auto"/>
            <w:shd w:val="clear" w:color="000000" w:fill="DCE6F1"/>
            <w:noWrap/>
            <w:vAlign w:val="center"/>
            <w:hideMark/>
          </w:tcPr>
          <w:p w14:paraId="3C2F4A42"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1161</w:t>
            </w:r>
          </w:p>
        </w:tc>
        <w:tc>
          <w:tcPr>
            <w:tcW w:w="0" w:type="auto"/>
            <w:shd w:val="clear" w:color="000000" w:fill="DCE6F1"/>
            <w:noWrap/>
            <w:vAlign w:val="center"/>
            <w:hideMark/>
          </w:tcPr>
          <w:p w14:paraId="7D40A090"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2078</w:t>
            </w:r>
          </w:p>
        </w:tc>
        <w:tc>
          <w:tcPr>
            <w:tcW w:w="0" w:type="auto"/>
            <w:shd w:val="clear" w:color="000000" w:fill="DCE6F1"/>
            <w:noWrap/>
            <w:vAlign w:val="center"/>
            <w:hideMark/>
          </w:tcPr>
          <w:p w14:paraId="335CA54E"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53</w:t>
            </w:r>
          </w:p>
        </w:tc>
        <w:tc>
          <w:tcPr>
            <w:tcW w:w="949" w:type="dxa"/>
            <w:shd w:val="clear" w:color="000000" w:fill="DCE6F1"/>
            <w:noWrap/>
            <w:vAlign w:val="center"/>
            <w:hideMark/>
          </w:tcPr>
          <w:p w14:paraId="043E77E2"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w:t>
            </w:r>
          </w:p>
        </w:tc>
        <w:tc>
          <w:tcPr>
            <w:tcW w:w="1083" w:type="dxa"/>
            <w:shd w:val="clear" w:color="000000" w:fill="DCE6F1"/>
            <w:noWrap/>
            <w:vAlign w:val="center"/>
            <w:hideMark/>
          </w:tcPr>
          <w:p w14:paraId="6B89C4B5" w14:textId="77777777" w:rsidR="0090258D" w:rsidRPr="00EB031E" w:rsidRDefault="0090258D" w:rsidP="0090258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13</w:t>
            </w:r>
          </w:p>
        </w:tc>
      </w:tr>
    </w:tbl>
    <w:p w14:paraId="168243E0" w14:textId="77777777" w:rsidR="0090258D" w:rsidRDefault="0090258D" w:rsidP="0005645E">
      <w:pPr>
        <w:spacing w:after="0" w:line="240" w:lineRule="auto"/>
        <w:jc w:val="center"/>
        <w:rPr>
          <w:rFonts w:ascii="Book Antiqua" w:eastAsia="Times New Roman" w:hAnsi="Book Antiqua" w:cs="Arial"/>
          <w:b/>
          <w:bCs/>
          <w:color w:val="1F497D" w:themeColor="text2"/>
          <w:lang w:eastAsia="es-ES"/>
        </w:rPr>
      </w:pPr>
    </w:p>
    <w:p w14:paraId="628667E0" w14:textId="2332B9FB" w:rsidR="0090258D" w:rsidRPr="00410ED4" w:rsidRDefault="00A14203" w:rsidP="00A14203">
      <w:pPr>
        <w:jc w:val="both"/>
        <w:rPr>
          <w:rFonts w:ascii="Book Antiqua" w:hAnsi="Book Antiqua"/>
          <w:b/>
          <w:i/>
          <w:sz w:val="20"/>
        </w:rPr>
      </w:pPr>
      <w:r w:rsidRPr="00410ED4">
        <w:rPr>
          <w:rFonts w:ascii="Book Antiqua" w:hAnsi="Book Antiqua"/>
          <w:b/>
          <w:i/>
          <w:sz w:val="20"/>
        </w:rPr>
        <w:t xml:space="preserve">Fuente: </w:t>
      </w:r>
      <w:r w:rsidRPr="002B1F1D">
        <w:rPr>
          <w:rFonts w:ascii="Book Antiqua" w:hAnsi="Book Antiqua"/>
          <w:bCs/>
          <w:i/>
          <w:sz w:val="20"/>
        </w:rPr>
        <w:t>Anuario Estadístico Judicial 2018</w:t>
      </w:r>
      <w:r w:rsidR="0090258D" w:rsidRPr="002B1F1D">
        <w:rPr>
          <w:rFonts w:ascii="Book Antiqua" w:hAnsi="Book Antiqua"/>
          <w:bCs/>
          <w:i/>
          <w:sz w:val="20"/>
        </w:rPr>
        <w:t xml:space="preserve">, </w:t>
      </w:r>
      <w:r w:rsidR="00A6539C" w:rsidRPr="002B1F1D">
        <w:rPr>
          <w:rFonts w:ascii="Book Antiqua" w:hAnsi="Book Antiqua"/>
          <w:bCs/>
          <w:i/>
          <w:sz w:val="20"/>
        </w:rPr>
        <w:t>2019</w:t>
      </w:r>
      <w:r w:rsidR="0090258D" w:rsidRPr="002B1F1D">
        <w:rPr>
          <w:rFonts w:ascii="Book Antiqua" w:hAnsi="Book Antiqua"/>
          <w:bCs/>
          <w:i/>
          <w:sz w:val="20"/>
        </w:rPr>
        <w:t>, 2020</w:t>
      </w:r>
      <w:r w:rsidR="00F83273" w:rsidRPr="002B1F1D">
        <w:rPr>
          <w:rFonts w:ascii="Book Antiqua" w:hAnsi="Book Antiqua"/>
          <w:bCs/>
          <w:i/>
          <w:sz w:val="20"/>
        </w:rPr>
        <w:t xml:space="preserve">, los datos </w:t>
      </w:r>
      <w:r w:rsidR="00FF6170" w:rsidRPr="002B1F1D">
        <w:rPr>
          <w:rFonts w:ascii="Book Antiqua" w:hAnsi="Book Antiqua"/>
          <w:bCs/>
          <w:i/>
          <w:sz w:val="20"/>
        </w:rPr>
        <w:t xml:space="preserve">del primer semestre del 2021 son datos </w:t>
      </w:r>
      <w:r w:rsidR="007F6C47" w:rsidRPr="002B1F1D">
        <w:rPr>
          <w:rFonts w:ascii="Book Antiqua" w:hAnsi="Book Antiqua"/>
          <w:bCs/>
          <w:i/>
          <w:sz w:val="20"/>
        </w:rPr>
        <w:t>obtenidos de SIGMA</w:t>
      </w:r>
      <w:r w:rsidR="00A6539C" w:rsidRPr="002B1F1D">
        <w:rPr>
          <w:rFonts w:ascii="Book Antiqua" w:hAnsi="Book Antiqua"/>
          <w:bCs/>
          <w:i/>
          <w:sz w:val="20"/>
        </w:rPr>
        <w:t>.</w:t>
      </w:r>
      <w:r w:rsidR="00A6539C">
        <w:rPr>
          <w:rFonts w:ascii="Book Antiqua" w:hAnsi="Book Antiqua"/>
          <w:b/>
          <w:i/>
          <w:sz w:val="20"/>
        </w:rPr>
        <w:t xml:space="preserve"> </w:t>
      </w:r>
    </w:p>
    <w:p w14:paraId="0FC830A0" w14:textId="6C8BC4F7" w:rsidR="00281C7B" w:rsidRDefault="006D2CA1" w:rsidP="0060505C">
      <w:pPr>
        <w:spacing w:line="276" w:lineRule="auto"/>
        <w:jc w:val="both"/>
        <w:rPr>
          <w:rFonts w:ascii="Book Antiqua" w:hAnsi="Book Antiqua"/>
        </w:rPr>
      </w:pPr>
      <w:r w:rsidRPr="00410ED4">
        <w:rPr>
          <w:rFonts w:ascii="Book Antiqua" w:hAnsi="Book Antiqua"/>
        </w:rPr>
        <w:t xml:space="preserve">La carga de trabajo ingresada a los </w:t>
      </w:r>
      <w:r w:rsidR="00906243">
        <w:rPr>
          <w:rFonts w:ascii="Book Antiqua" w:hAnsi="Book Antiqua"/>
        </w:rPr>
        <w:t>D</w:t>
      </w:r>
      <w:r w:rsidRPr="00410ED4">
        <w:rPr>
          <w:rFonts w:ascii="Book Antiqua" w:hAnsi="Book Antiqua"/>
        </w:rPr>
        <w:t xml:space="preserve">espachos durante </w:t>
      </w:r>
      <w:r w:rsidR="00A6539C">
        <w:rPr>
          <w:rFonts w:ascii="Book Antiqua" w:hAnsi="Book Antiqua"/>
        </w:rPr>
        <w:t>periodo analizado</w:t>
      </w:r>
      <w:r w:rsidRPr="00410ED4">
        <w:rPr>
          <w:rFonts w:ascii="Book Antiqua" w:hAnsi="Book Antiqua"/>
        </w:rPr>
        <w:t xml:space="preserve"> </w:t>
      </w:r>
      <w:r w:rsidR="00416D61">
        <w:rPr>
          <w:rFonts w:ascii="Book Antiqua" w:hAnsi="Book Antiqua"/>
        </w:rPr>
        <w:t xml:space="preserve">es en </w:t>
      </w:r>
      <w:r w:rsidR="00A02653" w:rsidRPr="00410ED4">
        <w:rPr>
          <w:rFonts w:ascii="Book Antiqua" w:hAnsi="Book Antiqua"/>
        </w:rPr>
        <w:t>promedi</w:t>
      </w:r>
      <w:r w:rsidR="00F01527">
        <w:rPr>
          <w:rFonts w:ascii="Book Antiqua" w:hAnsi="Book Antiqua"/>
        </w:rPr>
        <w:t>o</w:t>
      </w:r>
      <w:r w:rsidR="00A02653" w:rsidRPr="00410ED4">
        <w:rPr>
          <w:rFonts w:ascii="Book Antiqua" w:hAnsi="Book Antiqua"/>
        </w:rPr>
        <w:t xml:space="preserve"> </w:t>
      </w:r>
      <w:r w:rsidR="00416D61">
        <w:rPr>
          <w:rFonts w:ascii="Book Antiqua" w:hAnsi="Book Antiqua"/>
        </w:rPr>
        <w:t>de</w:t>
      </w:r>
      <w:r w:rsidR="00416D61" w:rsidRPr="00410ED4">
        <w:rPr>
          <w:rFonts w:ascii="Book Antiqua" w:hAnsi="Book Antiqua"/>
        </w:rPr>
        <w:t xml:space="preserve"> </w:t>
      </w:r>
      <w:r w:rsidR="00A02653" w:rsidRPr="00410ED4">
        <w:rPr>
          <w:rFonts w:ascii="Book Antiqua" w:hAnsi="Book Antiqua"/>
        </w:rPr>
        <w:t>1</w:t>
      </w:r>
      <w:r w:rsidR="0011248E">
        <w:rPr>
          <w:rFonts w:ascii="Book Antiqua" w:hAnsi="Book Antiqua"/>
        </w:rPr>
        <w:t>9</w:t>
      </w:r>
      <w:r w:rsidR="00A02653" w:rsidRPr="00410ED4">
        <w:rPr>
          <w:rFonts w:ascii="Book Antiqua" w:hAnsi="Book Antiqua"/>
        </w:rPr>
        <w:t xml:space="preserve"> casos por persona juzgadora</w:t>
      </w:r>
      <w:r w:rsidR="00F029EF" w:rsidRPr="00410ED4">
        <w:rPr>
          <w:rFonts w:ascii="Book Antiqua" w:hAnsi="Book Antiqua"/>
        </w:rPr>
        <w:t xml:space="preserve">, lo cual representa un </w:t>
      </w:r>
      <w:r w:rsidR="0011248E">
        <w:rPr>
          <w:rFonts w:ascii="Book Antiqua" w:hAnsi="Book Antiqua"/>
        </w:rPr>
        <w:t>5</w:t>
      </w:r>
      <w:r w:rsidR="00E865A3">
        <w:rPr>
          <w:rFonts w:ascii="Book Antiqua" w:hAnsi="Book Antiqua"/>
        </w:rPr>
        <w:t>6</w:t>
      </w:r>
      <w:r w:rsidR="00F029EF" w:rsidRPr="00410ED4">
        <w:rPr>
          <w:rFonts w:ascii="Book Antiqua" w:hAnsi="Book Antiqua"/>
        </w:rPr>
        <w:t>%</w:t>
      </w:r>
      <w:r w:rsidR="00F47FED" w:rsidRPr="00410ED4">
        <w:rPr>
          <w:rFonts w:ascii="Book Antiqua" w:hAnsi="Book Antiqua"/>
        </w:rPr>
        <w:t xml:space="preserve"> representa la materia Civil y </w:t>
      </w:r>
      <w:r w:rsidR="00F47FED" w:rsidRPr="00410ED4">
        <w:rPr>
          <w:rFonts w:ascii="Book Antiqua" w:hAnsi="Book Antiqua"/>
        </w:rPr>
        <w:lastRenderedPageBreak/>
        <w:t xml:space="preserve">un </w:t>
      </w:r>
      <w:r w:rsidR="0011248E">
        <w:rPr>
          <w:rFonts w:ascii="Book Antiqua" w:hAnsi="Book Antiqua"/>
        </w:rPr>
        <w:t>4</w:t>
      </w:r>
      <w:r w:rsidR="00E865A3">
        <w:rPr>
          <w:rFonts w:ascii="Book Antiqua" w:hAnsi="Book Antiqua"/>
        </w:rPr>
        <w:t>4</w:t>
      </w:r>
      <w:r w:rsidR="00F47FED" w:rsidRPr="00410ED4">
        <w:rPr>
          <w:rFonts w:ascii="Book Antiqua" w:hAnsi="Book Antiqua"/>
        </w:rPr>
        <w:t>% la materia de Trabajo. S</w:t>
      </w:r>
      <w:r w:rsidR="00A02653" w:rsidRPr="00410ED4">
        <w:rPr>
          <w:rFonts w:ascii="Book Antiqua" w:hAnsi="Book Antiqua"/>
        </w:rPr>
        <w:t xml:space="preserve">e </w:t>
      </w:r>
      <w:r w:rsidR="00F029EF" w:rsidRPr="00410ED4">
        <w:rPr>
          <w:rFonts w:ascii="Book Antiqua" w:hAnsi="Book Antiqua"/>
        </w:rPr>
        <w:t>evidencia</w:t>
      </w:r>
      <w:r w:rsidR="00A02653" w:rsidRPr="00410ED4">
        <w:rPr>
          <w:rFonts w:ascii="Book Antiqua" w:hAnsi="Book Antiqua"/>
        </w:rPr>
        <w:t xml:space="preserve"> que el Tribunal de Apelaciones Civil y Trabajo de </w:t>
      </w:r>
      <w:r w:rsidR="00E36221">
        <w:rPr>
          <w:rFonts w:ascii="Book Antiqua" w:hAnsi="Book Antiqua"/>
        </w:rPr>
        <w:t>Heredia</w:t>
      </w:r>
      <w:r w:rsidR="00E36221" w:rsidRPr="00410ED4">
        <w:rPr>
          <w:rFonts w:ascii="Book Antiqua" w:hAnsi="Book Antiqua"/>
        </w:rPr>
        <w:t xml:space="preserve"> </w:t>
      </w:r>
      <w:r w:rsidR="00A02653" w:rsidRPr="00410ED4">
        <w:rPr>
          <w:rFonts w:ascii="Book Antiqua" w:hAnsi="Book Antiqua"/>
        </w:rPr>
        <w:t xml:space="preserve">es el </w:t>
      </w:r>
      <w:r w:rsidR="00416D61">
        <w:rPr>
          <w:rFonts w:ascii="Book Antiqua" w:hAnsi="Book Antiqua"/>
        </w:rPr>
        <w:t>d</w:t>
      </w:r>
      <w:r w:rsidR="00A02653" w:rsidRPr="00410ED4">
        <w:rPr>
          <w:rFonts w:ascii="Book Antiqua" w:hAnsi="Book Antiqua"/>
        </w:rPr>
        <w:t xml:space="preserve">espacho con mayor ingreso con </w:t>
      </w:r>
      <w:r w:rsidR="00204D52">
        <w:rPr>
          <w:rFonts w:ascii="Book Antiqua" w:hAnsi="Book Antiqua"/>
        </w:rPr>
        <w:t>2</w:t>
      </w:r>
      <w:r w:rsidR="00E36221">
        <w:rPr>
          <w:rFonts w:ascii="Book Antiqua" w:hAnsi="Book Antiqua"/>
        </w:rPr>
        <w:t>5</w:t>
      </w:r>
      <w:r w:rsidR="00204D52" w:rsidRPr="00410ED4">
        <w:rPr>
          <w:rFonts w:ascii="Book Antiqua" w:hAnsi="Book Antiqua"/>
        </w:rPr>
        <w:t xml:space="preserve"> </w:t>
      </w:r>
      <w:r w:rsidR="00A02653" w:rsidRPr="00410ED4">
        <w:rPr>
          <w:rFonts w:ascii="Book Antiqua" w:hAnsi="Book Antiqua"/>
        </w:rPr>
        <w:t>caso</w:t>
      </w:r>
      <w:r w:rsidR="00F029EF" w:rsidRPr="00410ED4">
        <w:rPr>
          <w:rFonts w:ascii="Book Antiqua" w:hAnsi="Book Antiqua"/>
        </w:rPr>
        <w:t>s</w:t>
      </w:r>
      <w:r w:rsidR="00A02653" w:rsidRPr="00410ED4">
        <w:rPr>
          <w:rFonts w:ascii="Book Antiqua" w:hAnsi="Book Antiqua"/>
        </w:rPr>
        <w:t xml:space="preserve"> entrados por plaza de Jueza o Juez, seguido del </w:t>
      </w:r>
      <w:r w:rsidR="00F029EF" w:rsidRPr="00410ED4">
        <w:rPr>
          <w:rFonts w:ascii="Book Antiqua" w:hAnsi="Book Antiqua"/>
        </w:rPr>
        <w:t xml:space="preserve">Tribunal de Apelación Civil y Trabajo de </w:t>
      </w:r>
      <w:r w:rsidR="00E36221">
        <w:rPr>
          <w:rFonts w:ascii="Book Antiqua" w:hAnsi="Book Antiqua"/>
        </w:rPr>
        <w:t>Alajuela</w:t>
      </w:r>
      <w:r w:rsidR="00E36221" w:rsidRPr="00410ED4">
        <w:rPr>
          <w:rFonts w:ascii="Book Antiqua" w:hAnsi="Book Antiqua"/>
        </w:rPr>
        <w:t xml:space="preserve"> </w:t>
      </w:r>
      <w:r w:rsidR="00F029EF" w:rsidRPr="00410ED4">
        <w:rPr>
          <w:rFonts w:ascii="Book Antiqua" w:hAnsi="Book Antiqua"/>
        </w:rPr>
        <w:t xml:space="preserve">y </w:t>
      </w:r>
      <w:r w:rsidR="00204D52">
        <w:rPr>
          <w:rFonts w:ascii="Book Antiqua" w:hAnsi="Book Antiqua"/>
        </w:rPr>
        <w:t xml:space="preserve">Cartago </w:t>
      </w:r>
      <w:r w:rsidR="00F029EF" w:rsidRPr="00410ED4">
        <w:rPr>
          <w:rFonts w:ascii="Book Antiqua" w:hAnsi="Book Antiqua"/>
        </w:rPr>
        <w:t>con 2</w:t>
      </w:r>
      <w:r w:rsidR="00EA337C">
        <w:rPr>
          <w:rFonts w:ascii="Book Antiqua" w:hAnsi="Book Antiqua"/>
        </w:rPr>
        <w:t>4</w:t>
      </w:r>
      <w:r w:rsidR="00F029EF" w:rsidRPr="00410ED4">
        <w:rPr>
          <w:rFonts w:ascii="Book Antiqua" w:hAnsi="Book Antiqua"/>
        </w:rPr>
        <w:t xml:space="preserve"> y 2</w:t>
      </w:r>
      <w:r w:rsidR="00CB3D47">
        <w:rPr>
          <w:rFonts w:ascii="Book Antiqua" w:hAnsi="Book Antiqua"/>
        </w:rPr>
        <w:t>3</w:t>
      </w:r>
      <w:r w:rsidR="00F029EF" w:rsidRPr="00410ED4">
        <w:rPr>
          <w:rFonts w:ascii="Book Antiqua" w:hAnsi="Book Antiqua"/>
        </w:rPr>
        <w:t xml:space="preserve"> casos entrados por persona juzgadora respectivamente. </w:t>
      </w:r>
      <w:r w:rsidR="00FB59EB">
        <w:rPr>
          <w:rFonts w:ascii="Book Antiqua" w:hAnsi="Book Antiqua"/>
        </w:rPr>
        <w:t xml:space="preserve">Caso inverso, el </w:t>
      </w:r>
      <w:r w:rsidR="00416D61">
        <w:rPr>
          <w:rFonts w:ascii="Book Antiqua" w:hAnsi="Book Antiqua"/>
        </w:rPr>
        <w:t>d</w:t>
      </w:r>
      <w:r w:rsidR="00FB59EB">
        <w:rPr>
          <w:rFonts w:ascii="Book Antiqua" w:hAnsi="Book Antiqua"/>
        </w:rPr>
        <w:t>espacho que obtuvo menor carga de trabajo correspondió a</w:t>
      </w:r>
      <w:r w:rsidR="00C15AD2">
        <w:rPr>
          <w:rFonts w:ascii="Book Antiqua" w:hAnsi="Book Antiqua"/>
        </w:rPr>
        <w:t xml:space="preserve">l </w:t>
      </w:r>
      <w:r w:rsidR="00C15AD2" w:rsidRPr="00C15AD2">
        <w:rPr>
          <w:rFonts w:ascii="Book Antiqua" w:hAnsi="Book Antiqua"/>
        </w:rPr>
        <w:t xml:space="preserve">Tribunal de Apelación Civil y Trabajo de </w:t>
      </w:r>
      <w:r w:rsidR="009A7967">
        <w:rPr>
          <w:rFonts w:ascii="Book Antiqua" w:hAnsi="Book Antiqua"/>
        </w:rPr>
        <w:t xml:space="preserve">la Zona Atlántica </w:t>
      </w:r>
      <w:r w:rsidR="00C15AD2">
        <w:rPr>
          <w:rFonts w:ascii="Book Antiqua" w:hAnsi="Book Antiqua"/>
        </w:rPr>
        <w:t>con 1</w:t>
      </w:r>
      <w:r w:rsidR="009A7967">
        <w:rPr>
          <w:rFonts w:ascii="Book Antiqua" w:hAnsi="Book Antiqua"/>
        </w:rPr>
        <w:t>3</w:t>
      </w:r>
      <w:r w:rsidR="00C15AD2">
        <w:rPr>
          <w:rFonts w:ascii="Book Antiqua" w:hAnsi="Book Antiqua"/>
        </w:rPr>
        <w:t xml:space="preserve"> asuntos por persona juzgadora, </w:t>
      </w:r>
      <w:r w:rsidR="00060C0C">
        <w:rPr>
          <w:rFonts w:ascii="Book Antiqua" w:hAnsi="Book Antiqua"/>
        </w:rPr>
        <w:t>el cual recibi</w:t>
      </w:r>
      <w:r w:rsidR="00FD639E">
        <w:rPr>
          <w:rFonts w:ascii="Book Antiqua" w:hAnsi="Book Antiqua"/>
        </w:rPr>
        <w:t xml:space="preserve">ó </w:t>
      </w:r>
      <w:r w:rsidR="009A7967">
        <w:rPr>
          <w:rFonts w:ascii="Book Antiqua" w:hAnsi="Book Antiqua"/>
        </w:rPr>
        <w:t xml:space="preserve">seis </w:t>
      </w:r>
      <w:r w:rsidR="00192DF0">
        <w:rPr>
          <w:rFonts w:ascii="Book Antiqua" w:hAnsi="Book Antiqua"/>
        </w:rPr>
        <w:t xml:space="preserve">asuntos menos que el promedio de la media nacional. </w:t>
      </w:r>
    </w:p>
    <w:p w14:paraId="311BE578" w14:textId="77777777" w:rsidR="00755F18" w:rsidRDefault="00755F18" w:rsidP="0060505C">
      <w:pPr>
        <w:spacing w:line="276" w:lineRule="auto"/>
        <w:jc w:val="both"/>
        <w:rPr>
          <w:rFonts w:ascii="Book Antiqua" w:hAnsi="Book Antiqua"/>
          <w:color w:val="000000" w:themeColor="text1"/>
        </w:rPr>
      </w:pPr>
    </w:p>
    <w:p w14:paraId="4A842100" w14:textId="481B2614" w:rsidR="00B03E64" w:rsidRDefault="00741333" w:rsidP="0060505C">
      <w:pPr>
        <w:spacing w:line="276" w:lineRule="auto"/>
        <w:jc w:val="both"/>
        <w:rPr>
          <w:rFonts w:ascii="Book Antiqua" w:hAnsi="Book Antiqua"/>
          <w:color w:val="000000" w:themeColor="text1"/>
        </w:rPr>
      </w:pPr>
      <w:r w:rsidRPr="004D5DCF">
        <w:rPr>
          <w:rFonts w:ascii="Book Antiqua" w:hAnsi="Book Antiqua"/>
          <w:color w:val="000000" w:themeColor="text1"/>
        </w:rPr>
        <w:t xml:space="preserve">Es importante indicar que </w:t>
      </w:r>
      <w:r w:rsidR="001828C5">
        <w:rPr>
          <w:rFonts w:ascii="Book Antiqua" w:hAnsi="Book Antiqua"/>
          <w:color w:val="000000" w:themeColor="text1"/>
        </w:rPr>
        <w:t xml:space="preserve">el promedio de asuntos entrados mensuales en </w:t>
      </w:r>
      <w:r w:rsidRPr="004D5DCF">
        <w:rPr>
          <w:rFonts w:ascii="Book Antiqua" w:hAnsi="Book Antiqua"/>
          <w:color w:val="000000" w:themeColor="text1"/>
        </w:rPr>
        <w:t xml:space="preserve">el 2018 </w:t>
      </w:r>
      <w:r w:rsidR="001828C5">
        <w:rPr>
          <w:rFonts w:ascii="Book Antiqua" w:hAnsi="Book Antiqua"/>
          <w:color w:val="000000" w:themeColor="text1"/>
        </w:rPr>
        <w:t xml:space="preserve">corresponde a 425 asuntos, </w:t>
      </w:r>
      <w:r w:rsidR="00175B40">
        <w:rPr>
          <w:rFonts w:ascii="Book Antiqua" w:hAnsi="Book Antiqua"/>
          <w:color w:val="000000" w:themeColor="text1"/>
        </w:rPr>
        <w:t xml:space="preserve">para el 2021 el promedio de asuntos entrados mensuales 539 asuntos, </w:t>
      </w:r>
      <w:r w:rsidR="00475E6D">
        <w:rPr>
          <w:rFonts w:ascii="Book Antiqua" w:hAnsi="Book Antiqua"/>
          <w:color w:val="000000" w:themeColor="text1"/>
        </w:rPr>
        <w:t xml:space="preserve">por lo que si se realiza comparación entre los periodos se logra observar un incremento </w:t>
      </w:r>
      <w:r w:rsidR="00A42E8D">
        <w:rPr>
          <w:rFonts w:ascii="Book Antiqua" w:hAnsi="Book Antiqua"/>
          <w:color w:val="000000" w:themeColor="text1"/>
        </w:rPr>
        <w:t>de un 2</w:t>
      </w:r>
      <w:r w:rsidR="0012618A">
        <w:rPr>
          <w:rFonts w:ascii="Book Antiqua" w:hAnsi="Book Antiqua"/>
          <w:color w:val="000000" w:themeColor="text1"/>
        </w:rPr>
        <w:t>7</w:t>
      </w:r>
      <w:r w:rsidR="00A42E8D">
        <w:rPr>
          <w:rFonts w:ascii="Book Antiqua" w:hAnsi="Book Antiqua"/>
          <w:color w:val="000000" w:themeColor="text1"/>
        </w:rPr>
        <w:t>% lo que es equivalente a 114 asuntos</w:t>
      </w:r>
      <w:r w:rsidR="00D94518">
        <w:rPr>
          <w:rFonts w:ascii="Book Antiqua" w:hAnsi="Book Antiqua"/>
          <w:color w:val="000000" w:themeColor="text1"/>
        </w:rPr>
        <w:t>, en materia civil</w:t>
      </w:r>
      <w:r w:rsidRPr="004D5DCF">
        <w:rPr>
          <w:rFonts w:ascii="Book Antiqua" w:hAnsi="Book Antiqua"/>
          <w:color w:val="000000" w:themeColor="text1"/>
        </w:rPr>
        <w:t xml:space="preserve"> existió un aumento de </w:t>
      </w:r>
      <w:r w:rsidR="00D11A54">
        <w:rPr>
          <w:rFonts w:ascii="Book Antiqua" w:hAnsi="Book Antiqua"/>
          <w:color w:val="000000" w:themeColor="text1"/>
        </w:rPr>
        <w:t>82</w:t>
      </w:r>
      <w:r w:rsidRPr="004D5DCF">
        <w:rPr>
          <w:rFonts w:ascii="Book Antiqua" w:hAnsi="Book Antiqua"/>
          <w:color w:val="000000" w:themeColor="text1"/>
        </w:rPr>
        <w:t xml:space="preserve">% en </w:t>
      </w:r>
      <w:r w:rsidR="00D11A54">
        <w:rPr>
          <w:rFonts w:ascii="Book Antiqua" w:hAnsi="Book Antiqua"/>
          <w:color w:val="000000" w:themeColor="text1"/>
        </w:rPr>
        <w:t>el promedio mensual de</w:t>
      </w:r>
      <w:r w:rsidR="00D11A54" w:rsidRPr="004D5DCF">
        <w:rPr>
          <w:rFonts w:ascii="Book Antiqua" w:hAnsi="Book Antiqua"/>
          <w:color w:val="000000" w:themeColor="text1"/>
        </w:rPr>
        <w:t xml:space="preserve"> </w:t>
      </w:r>
      <w:r w:rsidRPr="004D5DCF">
        <w:rPr>
          <w:rFonts w:ascii="Book Antiqua" w:hAnsi="Book Antiqua"/>
          <w:color w:val="000000" w:themeColor="text1"/>
        </w:rPr>
        <w:t>casos entrados</w:t>
      </w:r>
      <w:r w:rsidR="00D94518">
        <w:rPr>
          <w:rFonts w:ascii="Book Antiqua" w:hAnsi="Book Antiqua"/>
          <w:color w:val="000000" w:themeColor="text1"/>
        </w:rPr>
        <w:t xml:space="preserve">, lo que </w:t>
      </w:r>
      <w:r w:rsidR="00E55469">
        <w:rPr>
          <w:rFonts w:ascii="Book Antiqua" w:hAnsi="Book Antiqua"/>
          <w:color w:val="000000" w:themeColor="text1"/>
        </w:rPr>
        <w:t>re</w:t>
      </w:r>
      <w:r w:rsidR="00D94518">
        <w:rPr>
          <w:rFonts w:ascii="Book Antiqua" w:hAnsi="Book Antiqua"/>
          <w:color w:val="000000" w:themeColor="text1"/>
        </w:rPr>
        <w:t>present</w:t>
      </w:r>
      <w:r w:rsidR="0008524E">
        <w:rPr>
          <w:rFonts w:ascii="Book Antiqua" w:hAnsi="Book Antiqua"/>
          <w:color w:val="000000" w:themeColor="text1"/>
        </w:rPr>
        <w:t>ó</w:t>
      </w:r>
      <w:r w:rsidR="00D94518">
        <w:rPr>
          <w:rFonts w:ascii="Book Antiqua" w:hAnsi="Book Antiqua"/>
          <w:color w:val="000000" w:themeColor="text1"/>
        </w:rPr>
        <w:t xml:space="preserve"> </w:t>
      </w:r>
      <w:r w:rsidR="009F17E4">
        <w:rPr>
          <w:rFonts w:ascii="Book Antiqua" w:hAnsi="Book Antiqua"/>
          <w:color w:val="000000" w:themeColor="text1"/>
        </w:rPr>
        <w:t xml:space="preserve">157 </w:t>
      </w:r>
      <w:r w:rsidR="0008524E">
        <w:rPr>
          <w:rFonts w:ascii="Book Antiqua" w:hAnsi="Book Antiqua"/>
          <w:color w:val="000000" w:themeColor="text1"/>
        </w:rPr>
        <w:t>asuntos</w:t>
      </w:r>
      <w:r w:rsidR="009F17E4">
        <w:rPr>
          <w:rFonts w:ascii="Book Antiqua" w:hAnsi="Book Antiqua"/>
          <w:color w:val="000000" w:themeColor="text1"/>
        </w:rPr>
        <w:t xml:space="preserve"> mensuales</w:t>
      </w:r>
      <w:r w:rsidR="00A2680F">
        <w:rPr>
          <w:rFonts w:ascii="Book Antiqua" w:hAnsi="Book Antiqua"/>
          <w:color w:val="000000" w:themeColor="text1"/>
        </w:rPr>
        <w:t xml:space="preserve">, mientras </w:t>
      </w:r>
      <w:r w:rsidR="00E55469">
        <w:rPr>
          <w:rFonts w:ascii="Book Antiqua" w:hAnsi="Book Antiqua"/>
          <w:color w:val="000000" w:themeColor="text1"/>
        </w:rPr>
        <w:t>que,</w:t>
      </w:r>
      <w:r w:rsidR="00A2680F">
        <w:rPr>
          <w:rFonts w:ascii="Book Antiqua" w:hAnsi="Book Antiqua"/>
          <w:color w:val="000000" w:themeColor="text1"/>
        </w:rPr>
        <w:t xml:space="preserve"> para la materia </w:t>
      </w:r>
      <w:r w:rsidR="00405EBB">
        <w:rPr>
          <w:rFonts w:ascii="Book Antiqua" w:hAnsi="Book Antiqua"/>
          <w:color w:val="000000" w:themeColor="text1"/>
        </w:rPr>
        <w:t>laboral</w:t>
      </w:r>
      <w:r w:rsidR="009932FB">
        <w:rPr>
          <w:rFonts w:ascii="Book Antiqua" w:hAnsi="Book Antiqua"/>
          <w:color w:val="000000" w:themeColor="text1"/>
        </w:rPr>
        <w:t xml:space="preserve"> </w:t>
      </w:r>
      <w:r w:rsidR="0028732F">
        <w:rPr>
          <w:rFonts w:ascii="Book Antiqua" w:hAnsi="Book Antiqua"/>
          <w:color w:val="000000" w:themeColor="text1"/>
        </w:rPr>
        <w:t>el promedio mensual en el 2021</w:t>
      </w:r>
      <w:r w:rsidR="00615C5B">
        <w:rPr>
          <w:rFonts w:ascii="Book Antiqua" w:hAnsi="Book Antiqua"/>
          <w:color w:val="000000" w:themeColor="text1"/>
        </w:rPr>
        <w:t xml:space="preserve"> </w:t>
      </w:r>
      <w:r w:rsidR="0008524E">
        <w:rPr>
          <w:rFonts w:ascii="Book Antiqua" w:hAnsi="Book Antiqua"/>
          <w:color w:val="000000" w:themeColor="text1"/>
        </w:rPr>
        <w:t>se observó</w:t>
      </w:r>
      <w:r w:rsidR="009932FB">
        <w:rPr>
          <w:rFonts w:ascii="Book Antiqua" w:hAnsi="Book Antiqua"/>
          <w:color w:val="000000" w:themeColor="text1"/>
        </w:rPr>
        <w:t xml:space="preserve"> una disminución de </w:t>
      </w:r>
      <w:r w:rsidR="0028732F">
        <w:rPr>
          <w:rFonts w:ascii="Book Antiqua" w:hAnsi="Book Antiqua"/>
          <w:color w:val="000000" w:themeColor="text1"/>
        </w:rPr>
        <w:t xml:space="preserve">43 </w:t>
      </w:r>
      <w:r w:rsidR="0023410F">
        <w:rPr>
          <w:rFonts w:ascii="Book Antiqua" w:hAnsi="Book Antiqua"/>
          <w:color w:val="000000" w:themeColor="text1"/>
        </w:rPr>
        <w:t>asuntos, lo que repre</w:t>
      </w:r>
      <w:r w:rsidR="00B03E64">
        <w:rPr>
          <w:rFonts w:ascii="Book Antiqua" w:hAnsi="Book Antiqua"/>
          <w:color w:val="000000" w:themeColor="text1"/>
        </w:rPr>
        <w:t xml:space="preserve">sentó </w:t>
      </w:r>
      <w:r w:rsidR="00E55469">
        <w:rPr>
          <w:rFonts w:ascii="Book Antiqua" w:hAnsi="Book Antiqua"/>
          <w:color w:val="000000" w:themeColor="text1"/>
        </w:rPr>
        <w:t xml:space="preserve">un </w:t>
      </w:r>
      <w:r w:rsidR="0028732F">
        <w:rPr>
          <w:rFonts w:ascii="Book Antiqua" w:hAnsi="Book Antiqua"/>
          <w:color w:val="000000" w:themeColor="text1"/>
        </w:rPr>
        <w:t>19</w:t>
      </w:r>
      <w:r w:rsidR="00E55469">
        <w:rPr>
          <w:rFonts w:ascii="Book Antiqua" w:hAnsi="Book Antiqua"/>
          <w:color w:val="000000" w:themeColor="text1"/>
        </w:rPr>
        <w:t xml:space="preserve">%. </w:t>
      </w:r>
    </w:p>
    <w:p w14:paraId="27E1AFCD" w14:textId="15855F1F" w:rsidR="00AB48CC" w:rsidRPr="004D5DCF" w:rsidRDefault="008235E7" w:rsidP="009C259C">
      <w:pPr>
        <w:pStyle w:val="Ttulo3"/>
        <w:numPr>
          <w:ilvl w:val="2"/>
          <w:numId w:val="1"/>
        </w:numPr>
        <w:rPr>
          <w:rFonts w:ascii="Book Antiqua" w:hAnsi="Book Antiqua"/>
          <w:b/>
          <w:color w:val="000000" w:themeColor="text1"/>
          <w:szCs w:val="22"/>
          <w:u w:val="single"/>
        </w:rPr>
      </w:pPr>
      <w:r w:rsidRPr="004D5DCF">
        <w:rPr>
          <w:rFonts w:ascii="Book Antiqua" w:hAnsi="Book Antiqua"/>
          <w:b/>
          <w:color w:val="000000" w:themeColor="text1"/>
          <w:szCs w:val="22"/>
          <w:u w:val="single"/>
        </w:rPr>
        <w:t>Análisis de asuntos entrados en m</w:t>
      </w:r>
      <w:r w:rsidR="00AB48CC" w:rsidRPr="004D5DCF">
        <w:rPr>
          <w:rFonts w:ascii="Book Antiqua" w:hAnsi="Book Antiqua"/>
          <w:b/>
          <w:color w:val="000000" w:themeColor="text1"/>
          <w:szCs w:val="22"/>
          <w:u w:val="single"/>
        </w:rPr>
        <w:t>ateria C</w:t>
      </w:r>
      <w:r w:rsidR="00B26AA3" w:rsidRPr="004D5DCF">
        <w:rPr>
          <w:rFonts w:ascii="Book Antiqua" w:hAnsi="Book Antiqua"/>
          <w:b/>
          <w:color w:val="000000" w:themeColor="text1"/>
          <w:szCs w:val="22"/>
          <w:u w:val="single"/>
        </w:rPr>
        <w:t xml:space="preserve">ivil </w:t>
      </w:r>
      <w:r w:rsidR="009F7FB7" w:rsidRPr="004D5DCF">
        <w:rPr>
          <w:rFonts w:ascii="Book Antiqua" w:hAnsi="Book Antiqua"/>
          <w:b/>
          <w:color w:val="000000" w:themeColor="text1"/>
          <w:szCs w:val="22"/>
          <w:u w:val="single"/>
        </w:rPr>
        <w:t xml:space="preserve">por tipo de proceso </w:t>
      </w:r>
    </w:p>
    <w:p w14:paraId="503C4F72" w14:textId="77777777" w:rsidR="008235E7" w:rsidRPr="00AC4601" w:rsidRDefault="008235E7" w:rsidP="004D5DCF"/>
    <w:p w14:paraId="2B0BC62E" w14:textId="7955B720" w:rsidR="00B728CE" w:rsidRPr="00410ED4" w:rsidRDefault="00881337" w:rsidP="0060505C">
      <w:pPr>
        <w:spacing w:line="276" w:lineRule="auto"/>
        <w:jc w:val="both"/>
        <w:rPr>
          <w:rFonts w:ascii="Book Antiqua" w:hAnsi="Book Antiqua"/>
        </w:rPr>
      </w:pPr>
      <w:r>
        <w:rPr>
          <w:rFonts w:ascii="Book Antiqua" w:hAnsi="Book Antiqua"/>
        </w:rPr>
        <w:t xml:space="preserve">Del total de recursos ingresados por Tribunal, se detalla a continuación por </w:t>
      </w:r>
      <w:r w:rsidR="00355934" w:rsidRPr="0080398B">
        <w:rPr>
          <w:rFonts w:ascii="Book Antiqua" w:hAnsi="Book Antiqua"/>
        </w:rPr>
        <w:t xml:space="preserve">tipo de proceso </w:t>
      </w:r>
      <w:r w:rsidR="00986796" w:rsidRPr="0080398B">
        <w:rPr>
          <w:rFonts w:ascii="Book Antiqua" w:hAnsi="Book Antiqua"/>
        </w:rPr>
        <w:t xml:space="preserve">en materia Civil </w:t>
      </w:r>
      <w:r w:rsidR="00355934" w:rsidRPr="0019356E">
        <w:rPr>
          <w:rFonts w:ascii="Book Antiqua" w:hAnsi="Book Antiqua"/>
        </w:rPr>
        <w:t>durante el 2018</w:t>
      </w:r>
      <w:r w:rsidR="004922A4">
        <w:rPr>
          <w:rFonts w:ascii="Book Antiqua" w:hAnsi="Book Antiqua"/>
        </w:rPr>
        <w:t>,</w:t>
      </w:r>
      <w:r w:rsidR="002B2F1F" w:rsidRPr="004D5DCF">
        <w:rPr>
          <w:rFonts w:ascii="Book Antiqua" w:hAnsi="Book Antiqua"/>
        </w:rPr>
        <w:t xml:space="preserve"> 2019</w:t>
      </w:r>
      <w:r w:rsidR="00355934" w:rsidRPr="00812BE8">
        <w:rPr>
          <w:rFonts w:ascii="Book Antiqua" w:hAnsi="Book Antiqua"/>
        </w:rPr>
        <w:t>,</w:t>
      </w:r>
      <w:r w:rsidR="004922A4">
        <w:rPr>
          <w:rFonts w:ascii="Book Antiqua" w:hAnsi="Book Antiqua"/>
        </w:rPr>
        <w:t xml:space="preserve"> 2020 y el </w:t>
      </w:r>
      <w:r w:rsidR="001F7C0D">
        <w:rPr>
          <w:rFonts w:ascii="Book Antiqua" w:hAnsi="Book Antiqua"/>
        </w:rPr>
        <w:t>primer semestre</w:t>
      </w:r>
      <w:r w:rsidR="004922A4">
        <w:rPr>
          <w:rFonts w:ascii="Book Antiqua" w:hAnsi="Book Antiqua"/>
        </w:rPr>
        <w:t xml:space="preserve"> del 2021</w:t>
      </w:r>
      <w:r w:rsidR="00355934" w:rsidRPr="00812BE8">
        <w:rPr>
          <w:rFonts w:ascii="Book Antiqua" w:hAnsi="Book Antiqua"/>
        </w:rPr>
        <w:t xml:space="preserve"> </w:t>
      </w:r>
      <w:r w:rsidR="00C14761">
        <w:rPr>
          <w:rFonts w:ascii="Book Antiqua" w:hAnsi="Book Antiqua"/>
        </w:rPr>
        <w:t>en los que se obtuvo el siguiente resultado;</w:t>
      </w:r>
    </w:p>
    <w:p w14:paraId="5A8506A6" w14:textId="715E6BAF" w:rsidR="00DB3347" w:rsidRPr="00410ED4" w:rsidRDefault="00DB3347" w:rsidP="00DB3347">
      <w:pPr>
        <w:keepNext/>
        <w:widowControl w:val="0"/>
        <w:autoSpaceDE w:val="0"/>
        <w:autoSpaceDN w:val="0"/>
        <w:adjustRightInd w:val="0"/>
        <w:spacing w:after="0" w:line="240" w:lineRule="auto"/>
        <w:jc w:val="center"/>
        <w:rPr>
          <w:rFonts w:ascii="Book Antiqua" w:eastAsia="Times New Roman" w:hAnsi="Book Antiqua" w:cs="Arial"/>
          <w:b/>
          <w:bCs/>
          <w:color w:val="1F497D" w:themeColor="text2"/>
          <w:lang w:eastAsia="es-ES"/>
        </w:rPr>
      </w:pPr>
      <w:r w:rsidRPr="00410ED4">
        <w:rPr>
          <w:rFonts w:ascii="Book Antiqua" w:eastAsia="Times New Roman" w:hAnsi="Book Antiqua" w:cs="Arial"/>
          <w:b/>
          <w:bCs/>
          <w:color w:val="1F497D" w:themeColor="text2"/>
          <w:lang w:eastAsia="es-ES"/>
        </w:rPr>
        <w:t xml:space="preserve">Cuadro </w:t>
      </w:r>
      <w:r w:rsidRPr="00410ED4">
        <w:rPr>
          <w:rFonts w:ascii="Book Antiqua" w:eastAsia="Times New Roman" w:hAnsi="Book Antiqua" w:cs="Arial"/>
          <w:b/>
          <w:bCs/>
          <w:color w:val="1F497D" w:themeColor="text2"/>
          <w:lang w:eastAsia="es-ES"/>
        </w:rPr>
        <w:fldChar w:fldCharType="begin"/>
      </w:r>
      <w:r w:rsidRPr="00410ED4">
        <w:rPr>
          <w:rFonts w:ascii="Book Antiqua" w:eastAsia="Times New Roman" w:hAnsi="Book Antiqua" w:cs="Arial"/>
          <w:b/>
          <w:bCs/>
          <w:color w:val="1F497D" w:themeColor="text2"/>
          <w:lang w:eastAsia="es-ES"/>
        </w:rPr>
        <w:instrText xml:space="preserve"> SEQ Cuadro \* ARABIC </w:instrText>
      </w:r>
      <w:r w:rsidRPr="00410ED4">
        <w:rPr>
          <w:rFonts w:ascii="Book Antiqua" w:eastAsia="Times New Roman" w:hAnsi="Book Antiqua" w:cs="Arial"/>
          <w:b/>
          <w:bCs/>
          <w:color w:val="1F497D" w:themeColor="text2"/>
          <w:lang w:eastAsia="es-ES"/>
        </w:rPr>
        <w:fldChar w:fldCharType="separate"/>
      </w:r>
      <w:r>
        <w:rPr>
          <w:rFonts w:ascii="Book Antiqua" w:eastAsia="Times New Roman" w:hAnsi="Book Antiqua" w:cs="Arial"/>
          <w:b/>
          <w:bCs/>
          <w:noProof/>
          <w:color w:val="1F497D" w:themeColor="text2"/>
          <w:lang w:eastAsia="es-ES"/>
        </w:rPr>
        <w:t>3</w:t>
      </w:r>
      <w:r w:rsidRPr="00410ED4">
        <w:rPr>
          <w:rFonts w:ascii="Book Antiqua" w:eastAsia="Times New Roman" w:hAnsi="Book Antiqua" w:cs="Arial"/>
          <w:b/>
          <w:bCs/>
          <w:color w:val="1F497D" w:themeColor="text2"/>
          <w:lang w:eastAsia="es-ES"/>
        </w:rPr>
        <w:fldChar w:fldCharType="end"/>
      </w:r>
    </w:p>
    <w:p w14:paraId="071D3484" w14:textId="685F4CF8" w:rsidR="00355934" w:rsidRPr="00410ED4" w:rsidRDefault="00881337" w:rsidP="004D5DCF">
      <w:pPr>
        <w:keepNext/>
        <w:widowControl w:val="0"/>
        <w:autoSpaceDE w:val="0"/>
        <w:autoSpaceDN w:val="0"/>
        <w:adjustRightInd w:val="0"/>
        <w:spacing w:after="0" w:line="240" w:lineRule="auto"/>
        <w:jc w:val="center"/>
        <w:rPr>
          <w:rFonts w:ascii="Book Antiqua" w:eastAsia="Times New Roman" w:hAnsi="Book Antiqua" w:cs="Arial"/>
          <w:b/>
          <w:bCs/>
          <w:color w:val="1F497D" w:themeColor="text2"/>
          <w:lang w:eastAsia="es-ES"/>
        </w:rPr>
      </w:pPr>
      <w:r>
        <w:rPr>
          <w:rFonts w:ascii="Book Antiqua" w:eastAsia="Times New Roman" w:hAnsi="Book Antiqua" w:cs="Arial"/>
          <w:b/>
          <w:bCs/>
          <w:color w:val="1F497D" w:themeColor="text2"/>
          <w:lang w:eastAsia="es-ES"/>
        </w:rPr>
        <w:t xml:space="preserve">Cantidad de recursos </w:t>
      </w:r>
      <w:r w:rsidR="00355934" w:rsidRPr="00410ED4">
        <w:rPr>
          <w:rFonts w:ascii="Book Antiqua" w:eastAsia="Times New Roman" w:hAnsi="Book Antiqua" w:cs="Arial"/>
          <w:b/>
          <w:bCs/>
          <w:color w:val="1F497D" w:themeColor="text2"/>
          <w:lang w:eastAsia="es-ES"/>
        </w:rPr>
        <w:t xml:space="preserve">según </w:t>
      </w:r>
      <w:r w:rsidR="006B7BFE">
        <w:rPr>
          <w:rFonts w:ascii="Book Antiqua" w:eastAsia="Times New Roman" w:hAnsi="Book Antiqua" w:cs="Arial"/>
          <w:b/>
          <w:bCs/>
          <w:color w:val="1F497D" w:themeColor="text2"/>
          <w:lang w:eastAsia="es-ES"/>
        </w:rPr>
        <w:t>t</w:t>
      </w:r>
      <w:r w:rsidR="00355934" w:rsidRPr="00410ED4">
        <w:rPr>
          <w:rFonts w:ascii="Book Antiqua" w:eastAsia="Times New Roman" w:hAnsi="Book Antiqua" w:cs="Arial"/>
          <w:b/>
          <w:bCs/>
          <w:color w:val="1F497D" w:themeColor="text2"/>
          <w:lang w:eastAsia="es-ES"/>
        </w:rPr>
        <w:t xml:space="preserve">ipo de </w:t>
      </w:r>
      <w:r w:rsidR="006B7BFE">
        <w:rPr>
          <w:rFonts w:ascii="Book Antiqua" w:eastAsia="Times New Roman" w:hAnsi="Book Antiqua" w:cs="Arial"/>
          <w:b/>
          <w:bCs/>
          <w:color w:val="1F497D" w:themeColor="text2"/>
          <w:lang w:eastAsia="es-ES"/>
        </w:rPr>
        <w:t>p</w:t>
      </w:r>
      <w:r w:rsidR="00355934" w:rsidRPr="00410ED4">
        <w:rPr>
          <w:rFonts w:ascii="Book Antiqua" w:eastAsia="Times New Roman" w:hAnsi="Book Antiqua" w:cs="Arial"/>
          <w:b/>
          <w:bCs/>
          <w:color w:val="1F497D" w:themeColor="text2"/>
          <w:lang w:eastAsia="es-ES"/>
        </w:rPr>
        <w:t xml:space="preserve">roceso </w:t>
      </w:r>
      <w:r w:rsidR="00986796" w:rsidRPr="00410ED4">
        <w:rPr>
          <w:rFonts w:ascii="Book Antiqua" w:eastAsia="Times New Roman" w:hAnsi="Book Antiqua" w:cs="Arial"/>
          <w:b/>
          <w:bCs/>
          <w:color w:val="1F497D" w:themeColor="text2"/>
          <w:lang w:eastAsia="es-ES"/>
        </w:rPr>
        <w:t xml:space="preserve">en materia Civil, </w:t>
      </w:r>
      <w:r w:rsidR="00355934" w:rsidRPr="00410ED4">
        <w:rPr>
          <w:rFonts w:ascii="Book Antiqua" w:eastAsia="Times New Roman" w:hAnsi="Book Antiqua" w:cs="Arial"/>
          <w:b/>
          <w:bCs/>
          <w:color w:val="1F497D" w:themeColor="text2"/>
          <w:lang w:eastAsia="es-ES"/>
        </w:rPr>
        <w:t>en los Tribunales de Apelación Civil y Trabajo</w:t>
      </w:r>
      <w:r w:rsidR="00A15CEE">
        <w:rPr>
          <w:rFonts w:ascii="Book Antiqua" w:eastAsia="Times New Roman" w:hAnsi="Book Antiqua" w:cs="Arial"/>
          <w:b/>
          <w:bCs/>
          <w:color w:val="1F497D" w:themeColor="text2"/>
          <w:lang w:eastAsia="es-ES"/>
        </w:rPr>
        <w:t xml:space="preserve"> </w:t>
      </w:r>
      <w:r w:rsidR="00BD2212">
        <w:rPr>
          <w:rFonts w:ascii="Book Antiqua" w:eastAsia="Times New Roman" w:hAnsi="Book Antiqua" w:cs="Arial"/>
          <w:b/>
          <w:bCs/>
          <w:color w:val="1F497D" w:themeColor="text2"/>
          <w:lang w:eastAsia="es-ES"/>
        </w:rPr>
        <w:t>(Mixto)</w:t>
      </w:r>
      <w:r w:rsidR="00355934" w:rsidRPr="00410ED4">
        <w:rPr>
          <w:rFonts w:ascii="Book Antiqua" w:eastAsia="Times New Roman" w:hAnsi="Book Antiqua" w:cs="Arial"/>
          <w:b/>
          <w:bCs/>
          <w:color w:val="1F497D" w:themeColor="text2"/>
          <w:lang w:eastAsia="es-ES"/>
        </w:rPr>
        <w:t xml:space="preserve"> </w:t>
      </w:r>
      <w:r w:rsidR="00BD2212">
        <w:rPr>
          <w:rFonts w:ascii="Book Antiqua" w:eastAsia="Times New Roman" w:hAnsi="Book Antiqua" w:cs="Arial"/>
          <w:b/>
          <w:bCs/>
          <w:color w:val="1F497D" w:themeColor="text2"/>
          <w:lang w:eastAsia="es-ES"/>
        </w:rPr>
        <w:t>-</w:t>
      </w:r>
      <w:r w:rsidR="00355934" w:rsidRPr="00410ED4">
        <w:rPr>
          <w:rFonts w:ascii="Book Antiqua" w:eastAsia="Times New Roman" w:hAnsi="Book Antiqua" w:cs="Arial"/>
          <w:b/>
          <w:bCs/>
          <w:color w:val="1F497D" w:themeColor="text2"/>
          <w:lang w:eastAsia="es-ES"/>
        </w:rPr>
        <w:t>Periodo 2018</w:t>
      </w:r>
      <w:r w:rsidR="004922A4">
        <w:rPr>
          <w:rFonts w:ascii="Book Antiqua" w:eastAsia="Times New Roman" w:hAnsi="Book Antiqua" w:cs="Arial"/>
          <w:b/>
          <w:bCs/>
          <w:color w:val="1F497D" w:themeColor="text2"/>
          <w:lang w:eastAsia="es-ES"/>
        </w:rPr>
        <w:t>,</w:t>
      </w:r>
      <w:r w:rsidR="002B2F1F">
        <w:rPr>
          <w:rFonts w:ascii="Book Antiqua" w:eastAsia="Times New Roman" w:hAnsi="Book Antiqua" w:cs="Arial"/>
          <w:b/>
          <w:bCs/>
          <w:color w:val="1F497D" w:themeColor="text2"/>
          <w:lang w:eastAsia="es-ES"/>
        </w:rPr>
        <w:t>2019</w:t>
      </w:r>
      <w:r w:rsidR="00735E21">
        <w:rPr>
          <w:rFonts w:ascii="Book Antiqua" w:eastAsia="Times New Roman" w:hAnsi="Book Antiqua" w:cs="Arial"/>
          <w:b/>
          <w:bCs/>
          <w:color w:val="1F497D" w:themeColor="text2"/>
          <w:lang w:eastAsia="es-ES"/>
        </w:rPr>
        <w:t>, 2020 y I Semestre 2021</w:t>
      </w:r>
    </w:p>
    <w:tbl>
      <w:tblPr>
        <w:tblW w:w="0" w:type="auto"/>
        <w:tblCellMar>
          <w:left w:w="70" w:type="dxa"/>
          <w:right w:w="70" w:type="dxa"/>
        </w:tblCellMar>
        <w:tblLook w:val="04A0" w:firstRow="1" w:lastRow="0" w:firstColumn="1" w:lastColumn="0" w:noHBand="0" w:noVBand="1"/>
      </w:tblPr>
      <w:tblGrid>
        <w:gridCol w:w="1701"/>
        <w:gridCol w:w="1082"/>
        <w:gridCol w:w="840"/>
        <w:gridCol w:w="781"/>
        <w:gridCol w:w="800"/>
        <w:gridCol w:w="1090"/>
        <w:gridCol w:w="1060"/>
        <w:gridCol w:w="680"/>
        <w:gridCol w:w="781"/>
      </w:tblGrid>
      <w:tr w:rsidR="006A56B4" w:rsidRPr="003F353D" w14:paraId="77D66776" w14:textId="77777777" w:rsidTr="006A56B4">
        <w:trPr>
          <w:trHeight w:val="580"/>
        </w:trPr>
        <w:tc>
          <w:tcPr>
            <w:tcW w:w="0" w:type="auto"/>
            <w:vMerge w:val="restart"/>
            <w:tcBorders>
              <w:top w:val="double" w:sz="6" w:space="0" w:color="1F497D"/>
              <w:left w:val="nil"/>
              <w:bottom w:val="nil"/>
              <w:right w:val="double" w:sz="6" w:space="0" w:color="1F497D"/>
            </w:tcBorders>
            <w:shd w:val="clear" w:color="auto" w:fill="365F91" w:themeFill="accent1" w:themeFillShade="BF"/>
            <w:vAlign w:val="center"/>
            <w:hideMark/>
          </w:tcPr>
          <w:p w14:paraId="25B9930F" w14:textId="77777777" w:rsidR="000E325D" w:rsidRPr="002B1F1D" w:rsidRDefault="000E325D" w:rsidP="000E325D">
            <w:pPr>
              <w:spacing w:after="0" w:line="240" w:lineRule="auto"/>
              <w:jc w:val="center"/>
              <w:rPr>
                <w:rFonts w:ascii="Book Antiqua" w:eastAsia="Times New Roman" w:hAnsi="Book Antiqua" w:cs="Calibri"/>
                <w:b/>
                <w:bCs/>
                <w:color w:val="FFFFFF"/>
                <w:sz w:val="18"/>
                <w:szCs w:val="18"/>
                <w:lang w:eastAsia="es-CR"/>
              </w:rPr>
            </w:pPr>
            <w:r w:rsidRPr="002B1F1D">
              <w:rPr>
                <w:rFonts w:ascii="Book Antiqua" w:eastAsia="Times New Roman" w:hAnsi="Book Antiqua" w:cs="Calibri"/>
                <w:b/>
                <w:bCs/>
                <w:color w:val="FFFFFF"/>
                <w:sz w:val="18"/>
                <w:szCs w:val="18"/>
                <w:lang w:eastAsia="es-CR"/>
              </w:rPr>
              <w:t>Tipo de proceso</w:t>
            </w:r>
          </w:p>
        </w:tc>
        <w:tc>
          <w:tcPr>
            <w:tcW w:w="0" w:type="auto"/>
            <w:gridSpan w:val="8"/>
            <w:tcBorders>
              <w:top w:val="double" w:sz="6" w:space="0" w:color="1F497D"/>
              <w:left w:val="nil"/>
              <w:bottom w:val="double" w:sz="6" w:space="0" w:color="1F497D"/>
              <w:right w:val="double" w:sz="6" w:space="0" w:color="1F497D"/>
            </w:tcBorders>
            <w:shd w:val="clear" w:color="000000" w:fill="F79646"/>
            <w:vAlign w:val="center"/>
            <w:hideMark/>
          </w:tcPr>
          <w:p w14:paraId="5B4B6E61" w14:textId="77777777" w:rsidR="000E325D" w:rsidRPr="002B1F1D" w:rsidRDefault="000E325D" w:rsidP="000E325D">
            <w:pPr>
              <w:spacing w:after="0" w:line="240" w:lineRule="auto"/>
              <w:jc w:val="center"/>
              <w:rPr>
                <w:rFonts w:ascii="Book Antiqua" w:eastAsia="Times New Roman" w:hAnsi="Book Antiqua" w:cs="Calibri"/>
                <w:b/>
                <w:bCs/>
                <w:color w:val="1F497D"/>
                <w:sz w:val="18"/>
                <w:szCs w:val="18"/>
                <w:lang w:eastAsia="es-CR"/>
              </w:rPr>
            </w:pPr>
            <w:r w:rsidRPr="002B1F1D">
              <w:rPr>
                <w:rFonts w:ascii="Book Antiqua" w:eastAsia="Times New Roman" w:hAnsi="Book Antiqua" w:cs="Calibri"/>
                <w:b/>
                <w:bCs/>
                <w:color w:val="1F497D"/>
                <w:sz w:val="18"/>
                <w:szCs w:val="18"/>
                <w:lang w:eastAsia="es-CR"/>
              </w:rPr>
              <w:t>Tribunales de Apelación Civil y Trabajo 2018-2019-2020-I Semestre 2021</w:t>
            </w:r>
          </w:p>
        </w:tc>
      </w:tr>
      <w:tr w:rsidR="006A56B4" w:rsidRPr="003F353D" w14:paraId="1D148F8E" w14:textId="77777777" w:rsidTr="006A56B4">
        <w:trPr>
          <w:trHeight w:val="310"/>
        </w:trPr>
        <w:tc>
          <w:tcPr>
            <w:tcW w:w="0" w:type="auto"/>
            <w:vMerge/>
            <w:tcBorders>
              <w:top w:val="double" w:sz="6" w:space="0" w:color="1F497D"/>
              <w:left w:val="nil"/>
              <w:bottom w:val="nil"/>
              <w:right w:val="double" w:sz="6" w:space="0" w:color="1F497D"/>
            </w:tcBorders>
            <w:shd w:val="clear" w:color="auto" w:fill="365F91" w:themeFill="accent1" w:themeFillShade="BF"/>
            <w:vAlign w:val="center"/>
            <w:hideMark/>
          </w:tcPr>
          <w:p w14:paraId="774C0D1B" w14:textId="77777777" w:rsidR="000E325D" w:rsidRPr="00EB031E" w:rsidRDefault="000E325D" w:rsidP="000E325D">
            <w:pPr>
              <w:spacing w:after="0" w:line="240" w:lineRule="auto"/>
              <w:rPr>
                <w:rFonts w:ascii="Book Antiqua" w:eastAsia="Times New Roman" w:hAnsi="Book Antiqua" w:cs="Calibri"/>
                <w:b/>
                <w:bCs/>
                <w:color w:val="FFFFFF"/>
                <w:sz w:val="18"/>
                <w:szCs w:val="18"/>
                <w:lang w:eastAsia="es-CR"/>
              </w:rPr>
            </w:pPr>
          </w:p>
        </w:tc>
        <w:tc>
          <w:tcPr>
            <w:tcW w:w="0" w:type="auto"/>
            <w:tcBorders>
              <w:top w:val="nil"/>
              <w:left w:val="nil"/>
              <w:bottom w:val="double" w:sz="6" w:space="0" w:color="1F497D"/>
              <w:right w:val="double" w:sz="6" w:space="0" w:color="1F497D"/>
            </w:tcBorders>
            <w:shd w:val="clear" w:color="auto" w:fill="365F91" w:themeFill="accent1" w:themeFillShade="BF"/>
            <w:vAlign w:val="center"/>
            <w:hideMark/>
          </w:tcPr>
          <w:p w14:paraId="3B9FACBC" w14:textId="77777777" w:rsidR="000E325D" w:rsidRPr="000802CB" w:rsidRDefault="000E325D" w:rsidP="000E325D">
            <w:pPr>
              <w:spacing w:after="0" w:line="240" w:lineRule="auto"/>
              <w:jc w:val="center"/>
              <w:rPr>
                <w:rFonts w:ascii="Book Antiqua" w:eastAsia="Times New Roman" w:hAnsi="Book Antiqua" w:cs="Calibri"/>
                <w:b/>
                <w:bCs/>
                <w:color w:val="FFFFFF"/>
                <w:sz w:val="18"/>
                <w:szCs w:val="18"/>
                <w:lang w:eastAsia="es-CR"/>
              </w:rPr>
            </w:pPr>
            <w:r w:rsidRPr="00B7076C">
              <w:rPr>
                <w:rFonts w:ascii="Book Antiqua" w:eastAsia="Times New Roman" w:hAnsi="Book Antiqua" w:cs="Calibri"/>
                <w:b/>
                <w:bCs/>
                <w:color w:val="FFFFFF"/>
                <w:sz w:val="18"/>
                <w:szCs w:val="18"/>
                <w:lang w:eastAsia="es-CR"/>
              </w:rPr>
              <w:t xml:space="preserve">Pérez Zeledón </w:t>
            </w:r>
          </w:p>
        </w:tc>
        <w:tc>
          <w:tcPr>
            <w:tcW w:w="0" w:type="auto"/>
            <w:tcBorders>
              <w:top w:val="nil"/>
              <w:left w:val="nil"/>
              <w:bottom w:val="double" w:sz="6" w:space="0" w:color="1F497D"/>
              <w:right w:val="double" w:sz="6" w:space="0" w:color="1F497D"/>
            </w:tcBorders>
            <w:shd w:val="clear" w:color="auto" w:fill="365F91" w:themeFill="accent1" w:themeFillShade="BF"/>
            <w:vAlign w:val="center"/>
            <w:hideMark/>
          </w:tcPr>
          <w:p w14:paraId="77B27FBC" w14:textId="77777777" w:rsidR="000E325D" w:rsidRPr="003F353D" w:rsidRDefault="000E325D" w:rsidP="000E325D">
            <w:pPr>
              <w:spacing w:after="0" w:line="240" w:lineRule="auto"/>
              <w:jc w:val="center"/>
              <w:rPr>
                <w:rFonts w:ascii="Book Antiqua" w:eastAsia="Times New Roman" w:hAnsi="Book Antiqua" w:cs="Calibri"/>
                <w:b/>
                <w:bCs/>
                <w:color w:val="FFFFFF"/>
                <w:sz w:val="18"/>
                <w:szCs w:val="18"/>
                <w:lang w:eastAsia="es-CR"/>
              </w:rPr>
            </w:pPr>
            <w:r w:rsidRPr="003F353D">
              <w:rPr>
                <w:rFonts w:ascii="Book Antiqua" w:eastAsia="Times New Roman" w:hAnsi="Book Antiqua" w:cs="Calibri"/>
                <w:b/>
                <w:bCs/>
                <w:color w:val="FFFFFF"/>
                <w:sz w:val="18"/>
                <w:szCs w:val="18"/>
                <w:lang w:eastAsia="es-CR"/>
              </w:rPr>
              <w:t>Alajuela</w:t>
            </w:r>
          </w:p>
        </w:tc>
        <w:tc>
          <w:tcPr>
            <w:tcW w:w="0" w:type="auto"/>
            <w:tcBorders>
              <w:top w:val="nil"/>
              <w:left w:val="nil"/>
              <w:bottom w:val="double" w:sz="6" w:space="0" w:color="1F497D"/>
              <w:right w:val="double" w:sz="6" w:space="0" w:color="1F497D"/>
            </w:tcBorders>
            <w:shd w:val="clear" w:color="auto" w:fill="365F91" w:themeFill="accent1" w:themeFillShade="BF"/>
            <w:vAlign w:val="center"/>
            <w:hideMark/>
          </w:tcPr>
          <w:p w14:paraId="15DB4E87" w14:textId="77777777" w:rsidR="000E325D" w:rsidRPr="003F353D" w:rsidRDefault="000E325D" w:rsidP="000E325D">
            <w:pPr>
              <w:spacing w:after="0" w:line="240" w:lineRule="auto"/>
              <w:jc w:val="center"/>
              <w:rPr>
                <w:rFonts w:ascii="Book Antiqua" w:eastAsia="Times New Roman" w:hAnsi="Book Antiqua" w:cs="Calibri"/>
                <w:b/>
                <w:bCs/>
                <w:color w:val="FFFFFF"/>
                <w:sz w:val="18"/>
                <w:szCs w:val="18"/>
                <w:lang w:eastAsia="es-CR"/>
              </w:rPr>
            </w:pPr>
            <w:r w:rsidRPr="003F353D">
              <w:rPr>
                <w:rFonts w:ascii="Book Antiqua" w:eastAsia="Times New Roman" w:hAnsi="Book Antiqua" w:cs="Calibri"/>
                <w:b/>
                <w:bCs/>
                <w:color w:val="FFFFFF"/>
                <w:sz w:val="18"/>
                <w:szCs w:val="18"/>
                <w:lang w:eastAsia="es-CR"/>
              </w:rPr>
              <w:t>Cartago</w:t>
            </w:r>
          </w:p>
        </w:tc>
        <w:tc>
          <w:tcPr>
            <w:tcW w:w="0" w:type="auto"/>
            <w:tcBorders>
              <w:top w:val="nil"/>
              <w:left w:val="nil"/>
              <w:bottom w:val="double" w:sz="6" w:space="0" w:color="1F497D"/>
              <w:right w:val="double" w:sz="6" w:space="0" w:color="1F497D"/>
            </w:tcBorders>
            <w:shd w:val="clear" w:color="auto" w:fill="365F91" w:themeFill="accent1" w:themeFillShade="BF"/>
            <w:vAlign w:val="center"/>
            <w:hideMark/>
          </w:tcPr>
          <w:p w14:paraId="19605501" w14:textId="77777777" w:rsidR="000E325D" w:rsidRPr="003F353D" w:rsidRDefault="000E325D" w:rsidP="000E325D">
            <w:pPr>
              <w:spacing w:after="0" w:line="240" w:lineRule="auto"/>
              <w:jc w:val="center"/>
              <w:rPr>
                <w:rFonts w:ascii="Book Antiqua" w:eastAsia="Times New Roman" w:hAnsi="Book Antiqua" w:cs="Calibri"/>
                <w:b/>
                <w:bCs/>
                <w:color w:val="FFFFFF"/>
                <w:sz w:val="18"/>
                <w:szCs w:val="18"/>
                <w:lang w:eastAsia="es-CR"/>
              </w:rPr>
            </w:pPr>
            <w:r w:rsidRPr="003F353D">
              <w:rPr>
                <w:rFonts w:ascii="Book Antiqua" w:eastAsia="Times New Roman" w:hAnsi="Book Antiqua" w:cs="Calibri"/>
                <w:b/>
                <w:bCs/>
                <w:color w:val="FFFFFF"/>
                <w:sz w:val="18"/>
                <w:szCs w:val="18"/>
                <w:lang w:eastAsia="es-CR"/>
              </w:rPr>
              <w:t>Heredia</w:t>
            </w:r>
          </w:p>
        </w:tc>
        <w:tc>
          <w:tcPr>
            <w:tcW w:w="0" w:type="auto"/>
            <w:tcBorders>
              <w:top w:val="nil"/>
              <w:left w:val="nil"/>
              <w:bottom w:val="double" w:sz="6" w:space="0" w:color="1F497D"/>
              <w:right w:val="double" w:sz="6" w:space="0" w:color="1F497D"/>
            </w:tcBorders>
            <w:shd w:val="clear" w:color="auto" w:fill="365F91" w:themeFill="accent1" w:themeFillShade="BF"/>
            <w:vAlign w:val="center"/>
            <w:hideMark/>
          </w:tcPr>
          <w:p w14:paraId="1FA9D78A" w14:textId="77777777" w:rsidR="000E325D" w:rsidRPr="003F353D" w:rsidRDefault="000E325D" w:rsidP="000E325D">
            <w:pPr>
              <w:spacing w:after="0" w:line="240" w:lineRule="auto"/>
              <w:jc w:val="center"/>
              <w:rPr>
                <w:rFonts w:ascii="Book Antiqua" w:eastAsia="Times New Roman" w:hAnsi="Book Antiqua" w:cs="Calibri"/>
                <w:b/>
                <w:bCs/>
                <w:color w:val="FFFFFF"/>
                <w:sz w:val="18"/>
                <w:szCs w:val="18"/>
                <w:lang w:eastAsia="es-CR"/>
              </w:rPr>
            </w:pPr>
            <w:r w:rsidRPr="003F353D">
              <w:rPr>
                <w:rFonts w:ascii="Book Antiqua" w:eastAsia="Times New Roman" w:hAnsi="Book Antiqua" w:cs="Calibri"/>
                <w:b/>
                <w:bCs/>
                <w:color w:val="FFFFFF"/>
                <w:sz w:val="18"/>
                <w:szCs w:val="18"/>
                <w:lang w:eastAsia="es-CR"/>
              </w:rPr>
              <w:t>Guanacaste</w:t>
            </w:r>
          </w:p>
        </w:tc>
        <w:tc>
          <w:tcPr>
            <w:tcW w:w="0" w:type="auto"/>
            <w:tcBorders>
              <w:top w:val="nil"/>
              <w:left w:val="nil"/>
              <w:bottom w:val="double" w:sz="6" w:space="0" w:color="1F497D"/>
              <w:right w:val="double" w:sz="6" w:space="0" w:color="1F497D"/>
            </w:tcBorders>
            <w:shd w:val="clear" w:color="auto" w:fill="365F91" w:themeFill="accent1" w:themeFillShade="BF"/>
            <w:vAlign w:val="center"/>
            <w:hideMark/>
          </w:tcPr>
          <w:p w14:paraId="51BE8A3F" w14:textId="77777777" w:rsidR="000E325D" w:rsidRPr="003F353D" w:rsidRDefault="000E325D" w:rsidP="000E325D">
            <w:pPr>
              <w:spacing w:after="0" w:line="240" w:lineRule="auto"/>
              <w:jc w:val="center"/>
              <w:rPr>
                <w:rFonts w:ascii="Book Antiqua" w:eastAsia="Times New Roman" w:hAnsi="Book Antiqua" w:cs="Calibri"/>
                <w:b/>
                <w:bCs/>
                <w:color w:val="FFFFFF"/>
                <w:sz w:val="18"/>
                <w:szCs w:val="18"/>
                <w:lang w:eastAsia="es-CR"/>
              </w:rPr>
            </w:pPr>
            <w:r w:rsidRPr="003F353D">
              <w:rPr>
                <w:rFonts w:ascii="Book Antiqua" w:eastAsia="Times New Roman" w:hAnsi="Book Antiqua" w:cs="Calibri"/>
                <w:b/>
                <w:bCs/>
                <w:color w:val="FFFFFF"/>
                <w:sz w:val="18"/>
                <w:szCs w:val="18"/>
                <w:lang w:eastAsia="es-CR"/>
              </w:rPr>
              <w:t>Puntarenas</w:t>
            </w:r>
          </w:p>
        </w:tc>
        <w:tc>
          <w:tcPr>
            <w:tcW w:w="0" w:type="auto"/>
            <w:tcBorders>
              <w:top w:val="nil"/>
              <w:left w:val="nil"/>
              <w:bottom w:val="double" w:sz="6" w:space="0" w:color="1F497D"/>
              <w:right w:val="double" w:sz="6" w:space="0" w:color="1F497D"/>
            </w:tcBorders>
            <w:shd w:val="clear" w:color="auto" w:fill="365F91" w:themeFill="accent1" w:themeFillShade="BF"/>
            <w:vAlign w:val="center"/>
            <w:hideMark/>
          </w:tcPr>
          <w:p w14:paraId="15CA66CF" w14:textId="77777777" w:rsidR="000E325D" w:rsidRPr="003F353D" w:rsidRDefault="000E325D" w:rsidP="000E325D">
            <w:pPr>
              <w:spacing w:after="0" w:line="240" w:lineRule="auto"/>
              <w:jc w:val="center"/>
              <w:rPr>
                <w:rFonts w:ascii="Book Antiqua" w:eastAsia="Times New Roman" w:hAnsi="Book Antiqua" w:cs="Calibri"/>
                <w:b/>
                <w:bCs/>
                <w:color w:val="FFFFFF"/>
                <w:sz w:val="18"/>
                <w:szCs w:val="18"/>
                <w:lang w:eastAsia="es-CR"/>
              </w:rPr>
            </w:pPr>
            <w:r w:rsidRPr="003F353D">
              <w:rPr>
                <w:rFonts w:ascii="Book Antiqua" w:eastAsia="Times New Roman" w:hAnsi="Book Antiqua" w:cs="Calibri"/>
                <w:b/>
                <w:bCs/>
                <w:color w:val="FFFFFF"/>
                <w:sz w:val="18"/>
                <w:szCs w:val="18"/>
                <w:lang w:eastAsia="es-CR"/>
              </w:rPr>
              <w:t>Limón</w:t>
            </w:r>
          </w:p>
        </w:tc>
        <w:tc>
          <w:tcPr>
            <w:tcW w:w="0" w:type="auto"/>
            <w:tcBorders>
              <w:top w:val="nil"/>
              <w:left w:val="nil"/>
              <w:bottom w:val="double" w:sz="6" w:space="0" w:color="1F497D"/>
              <w:right w:val="double" w:sz="6" w:space="0" w:color="1F497D"/>
            </w:tcBorders>
            <w:shd w:val="clear" w:color="auto" w:fill="365F91" w:themeFill="accent1" w:themeFillShade="BF"/>
            <w:vAlign w:val="center"/>
            <w:hideMark/>
          </w:tcPr>
          <w:p w14:paraId="10D6D776" w14:textId="77777777" w:rsidR="000E325D" w:rsidRPr="003F353D" w:rsidRDefault="000E325D" w:rsidP="000E325D">
            <w:pPr>
              <w:spacing w:after="0" w:line="240" w:lineRule="auto"/>
              <w:jc w:val="center"/>
              <w:rPr>
                <w:rFonts w:ascii="Book Antiqua" w:eastAsia="Times New Roman" w:hAnsi="Book Antiqua" w:cs="Calibri"/>
                <w:b/>
                <w:bCs/>
                <w:color w:val="FFFFFF"/>
                <w:sz w:val="18"/>
                <w:szCs w:val="18"/>
                <w:lang w:eastAsia="es-CR"/>
              </w:rPr>
            </w:pPr>
            <w:r w:rsidRPr="003F353D">
              <w:rPr>
                <w:rFonts w:ascii="Book Antiqua" w:eastAsia="Times New Roman" w:hAnsi="Book Antiqua" w:cs="Calibri"/>
                <w:b/>
                <w:bCs/>
                <w:color w:val="FFFFFF"/>
                <w:sz w:val="18"/>
                <w:szCs w:val="18"/>
                <w:lang w:eastAsia="es-CR"/>
              </w:rPr>
              <w:t>TOTAL</w:t>
            </w:r>
          </w:p>
        </w:tc>
      </w:tr>
      <w:tr w:rsidR="00EB031E" w:rsidRPr="003F353D" w14:paraId="5E72F579" w14:textId="77777777" w:rsidTr="00EB031E">
        <w:trPr>
          <w:trHeight w:val="310"/>
        </w:trPr>
        <w:tc>
          <w:tcPr>
            <w:tcW w:w="0" w:type="auto"/>
            <w:tcBorders>
              <w:top w:val="nil"/>
              <w:left w:val="double" w:sz="6" w:space="0" w:color="1F497D"/>
              <w:bottom w:val="double" w:sz="6" w:space="0" w:color="1F497D"/>
              <w:right w:val="double" w:sz="6" w:space="0" w:color="1F497D"/>
            </w:tcBorders>
            <w:shd w:val="clear" w:color="000000" w:fill="DCE6F1"/>
            <w:vAlign w:val="center"/>
            <w:hideMark/>
          </w:tcPr>
          <w:p w14:paraId="38D3EB37" w14:textId="77777777" w:rsidR="000E325D" w:rsidRPr="00EB031E" w:rsidRDefault="000E325D" w:rsidP="000E325D">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 xml:space="preserve">Monitorio dinerario </w:t>
            </w:r>
          </w:p>
        </w:tc>
        <w:tc>
          <w:tcPr>
            <w:tcW w:w="0" w:type="auto"/>
            <w:tcBorders>
              <w:top w:val="nil"/>
              <w:left w:val="nil"/>
              <w:bottom w:val="double" w:sz="6" w:space="0" w:color="1F497D"/>
              <w:right w:val="double" w:sz="6" w:space="0" w:color="1F497D"/>
            </w:tcBorders>
            <w:shd w:val="clear" w:color="000000" w:fill="DCE6F1"/>
            <w:vAlign w:val="center"/>
            <w:hideMark/>
          </w:tcPr>
          <w:p w14:paraId="34F37266"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478</w:t>
            </w:r>
          </w:p>
        </w:tc>
        <w:tc>
          <w:tcPr>
            <w:tcW w:w="0" w:type="auto"/>
            <w:tcBorders>
              <w:top w:val="nil"/>
              <w:left w:val="nil"/>
              <w:bottom w:val="double" w:sz="6" w:space="0" w:color="1F497D"/>
              <w:right w:val="double" w:sz="6" w:space="0" w:color="1F497D"/>
            </w:tcBorders>
            <w:shd w:val="clear" w:color="000000" w:fill="DCE6F1"/>
            <w:vAlign w:val="center"/>
            <w:hideMark/>
          </w:tcPr>
          <w:p w14:paraId="7A788F96"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1820</w:t>
            </w:r>
          </w:p>
        </w:tc>
        <w:tc>
          <w:tcPr>
            <w:tcW w:w="0" w:type="auto"/>
            <w:tcBorders>
              <w:top w:val="nil"/>
              <w:left w:val="nil"/>
              <w:bottom w:val="double" w:sz="6" w:space="0" w:color="1F497D"/>
              <w:right w:val="double" w:sz="6" w:space="0" w:color="1F497D"/>
            </w:tcBorders>
            <w:shd w:val="clear" w:color="000000" w:fill="DCE6F1"/>
            <w:vAlign w:val="center"/>
            <w:hideMark/>
          </w:tcPr>
          <w:p w14:paraId="7E297A34"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303</w:t>
            </w:r>
          </w:p>
        </w:tc>
        <w:tc>
          <w:tcPr>
            <w:tcW w:w="0" w:type="auto"/>
            <w:tcBorders>
              <w:top w:val="nil"/>
              <w:left w:val="nil"/>
              <w:bottom w:val="double" w:sz="6" w:space="0" w:color="1F497D"/>
              <w:right w:val="double" w:sz="6" w:space="0" w:color="1F497D"/>
            </w:tcBorders>
            <w:shd w:val="clear" w:color="000000" w:fill="DCE6F1"/>
            <w:vAlign w:val="center"/>
            <w:hideMark/>
          </w:tcPr>
          <w:p w14:paraId="184221E4"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182</w:t>
            </w:r>
          </w:p>
        </w:tc>
        <w:tc>
          <w:tcPr>
            <w:tcW w:w="0" w:type="auto"/>
            <w:tcBorders>
              <w:top w:val="nil"/>
              <w:left w:val="nil"/>
              <w:bottom w:val="double" w:sz="6" w:space="0" w:color="1F497D"/>
              <w:right w:val="double" w:sz="6" w:space="0" w:color="1F497D"/>
            </w:tcBorders>
            <w:shd w:val="clear" w:color="000000" w:fill="DCE6F1"/>
            <w:vAlign w:val="center"/>
            <w:hideMark/>
          </w:tcPr>
          <w:p w14:paraId="3C1AEB30"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99</w:t>
            </w:r>
          </w:p>
        </w:tc>
        <w:tc>
          <w:tcPr>
            <w:tcW w:w="0" w:type="auto"/>
            <w:tcBorders>
              <w:top w:val="nil"/>
              <w:left w:val="nil"/>
              <w:bottom w:val="double" w:sz="6" w:space="0" w:color="1F497D"/>
              <w:right w:val="double" w:sz="6" w:space="0" w:color="1F497D"/>
            </w:tcBorders>
            <w:shd w:val="clear" w:color="000000" w:fill="DCE6F1"/>
            <w:vAlign w:val="center"/>
            <w:hideMark/>
          </w:tcPr>
          <w:p w14:paraId="6FBD7597"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203</w:t>
            </w:r>
          </w:p>
        </w:tc>
        <w:tc>
          <w:tcPr>
            <w:tcW w:w="0" w:type="auto"/>
            <w:tcBorders>
              <w:top w:val="nil"/>
              <w:left w:val="nil"/>
              <w:bottom w:val="double" w:sz="6" w:space="0" w:color="1F497D"/>
              <w:right w:val="double" w:sz="6" w:space="0" w:color="1F497D"/>
            </w:tcBorders>
            <w:shd w:val="clear" w:color="000000" w:fill="DCE6F1"/>
            <w:vAlign w:val="center"/>
            <w:hideMark/>
          </w:tcPr>
          <w:p w14:paraId="525503F0"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312</w:t>
            </w:r>
          </w:p>
        </w:tc>
        <w:tc>
          <w:tcPr>
            <w:tcW w:w="0" w:type="auto"/>
            <w:tcBorders>
              <w:top w:val="nil"/>
              <w:left w:val="nil"/>
              <w:bottom w:val="double" w:sz="6" w:space="0" w:color="1F497D"/>
              <w:right w:val="double" w:sz="6" w:space="0" w:color="1F497D"/>
            </w:tcBorders>
            <w:shd w:val="clear" w:color="000000" w:fill="DCE6F1"/>
            <w:vAlign w:val="center"/>
            <w:hideMark/>
          </w:tcPr>
          <w:p w14:paraId="2284DF30"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3397</w:t>
            </w:r>
          </w:p>
        </w:tc>
      </w:tr>
      <w:tr w:rsidR="000E325D" w:rsidRPr="003F353D" w14:paraId="7244CFC5" w14:textId="77777777" w:rsidTr="000E325D">
        <w:trPr>
          <w:trHeight w:val="31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B401645" w14:textId="77777777" w:rsidR="000E325D" w:rsidRPr="00EB031E" w:rsidRDefault="000E325D" w:rsidP="000E325D">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Ejecución hipotecaria</w:t>
            </w:r>
          </w:p>
        </w:tc>
        <w:tc>
          <w:tcPr>
            <w:tcW w:w="0" w:type="auto"/>
            <w:tcBorders>
              <w:top w:val="nil"/>
              <w:left w:val="nil"/>
              <w:bottom w:val="double" w:sz="6" w:space="0" w:color="1F497D"/>
              <w:right w:val="double" w:sz="6" w:space="0" w:color="1F497D"/>
            </w:tcBorders>
            <w:shd w:val="clear" w:color="auto" w:fill="auto"/>
            <w:vAlign w:val="center"/>
            <w:hideMark/>
          </w:tcPr>
          <w:p w14:paraId="64A343CF"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251</w:t>
            </w:r>
          </w:p>
        </w:tc>
        <w:tc>
          <w:tcPr>
            <w:tcW w:w="0" w:type="auto"/>
            <w:tcBorders>
              <w:top w:val="nil"/>
              <w:left w:val="nil"/>
              <w:bottom w:val="double" w:sz="6" w:space="0" w:color="1F497D"/>
              <w:right w:val="double" w:sz="6" w:space="0" w:color="1F497D"/>
            </w:tcBorders>
            <w:shd w:val="clear" w:color="auto" w:fill="auto"/>
            <w:vAlign w:val="center"/>
            <w:hideMark/>
          </w:tcPr>
          <w:p w14:paraId="666D4805"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507</w:t>
            </w:r>
          </w:p>
        </w:tc>
        <w:tc>
          <w:tcPr>
            <w:tcW w:w="0" w:type="auto"/>
            <w:tcBorders>
              <w:top w:val="nil"/>
              <w:left w:val="nil"/>
              <w:bottom w:val="double" w:sz="6" w:space="0" w:color="1F497D"/>
              <w:right w:val="double" w:sz="6" w:space="0" w:color="1F497D"/>
            </w:tcBorders>
            <w:shd w:val="clear" w:color="auto" w:fill="auto"/>
            <w:vAlign w:val="center"/>
            <w:hideMark/>
          </w:tcPr>
          <w:p w14:paraId="0970D045"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292</w:t>
            </w:r>
          </w:p>
        </w:tc>
        <w:tc>
          <w:tcPr>
            <w:tcW w:w="0" w:type="auto"/>
            <w:tcBorders>
              <w:top w:val="nil"/>
              <w:left w:val="nil"/>
              <w:bottom w:val="double" w:sz="6" w:space="0" w:color="1F497D"/>
              <w:right w:val="double" w:sz="6" w:space="0" w:color="1F497D"/>
            </w:tcBorders>
            <w:shd w:val="clear" w:color="auto" w:fill="auto"/>
            <w:vAlign w:val="center"/>
            <w:hideMark/>
          </w:tcPr>
          <w:p w14:paraId="47F2A27C"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386</w:t>
            </w:r>
          </w:p>
        </w:tc>
        <w:tc>
          <w:tcPr>
            <w:tcW w:w="0" w:type="auto"/>
            <w:tcBorders>
              <w:top w:val="nil"/>
              <w:left w:val="nil"/>
              <w:bottom w:val="double" w:sz="6" w:space="0" w:color="1F497D"/>
              <w:right w:val="double" w:sz="6" w:space="0" w:color="1F497D"/>
            </w:tcBorders>
            <w:shd w:val="clear" w:color="auto" w:fill="auto"/>
            <w:vAlign w:val="center"/>
            <w:hideMark/>
          </w:tcPr>
          <w:p w14:paraId="42504A76"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187</w:t>
            </w:r>
          </w:p>
        </w:tc>
        <w:tc>
          <w:tcPr>
            <w:tcW w:w="0" w:type="auto"/>
            <w:tcBorders>
              <w:top w:val="nil"/>
              <w:left w:val="nil"/>
              <w:bottom w:val="double" w:sz="6" w:space="0" w:color="1F497D"/>
              <w:right w:val="double" w:sz="6" w:space="0" w:color="1F497D"/>
            </w:tcBorders>
            <w:shd w:val="clear" w:color="auto" w:fill="auto"/>
            <w:vAlign w:val="center"/>
            <w:hideMark/>
          </w:tcPr>
          <w:p w14:paraId="1D455B6C"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123</w:t>
            </w:r>
          </w:p>
        </w:tc>
        <w:tc>
          <w:tcPr>
            <w:tcW w:w="0" w:type="auto"/>
            <w:tcBorders>
              <w:top w:val="nil"/>
              <w:left w:val="nil"/>
              <w:bottom w:val="double" w:sz="6" w:space="0" w:color="1F497D"/>
              <w:right w:val="double" w:sz="6" w:space="0" w:color="1F497D"/>
            </w:tcBorders>
            <w:shd w:val="clear" w:color="auto" w:fill="auto"/>
            <w:vAlign w:val="center"/>
            <w:hideMark/>
          </w:tcPr>
          <w:p w14:paraId="08D10DD0"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80</w:t>
            </w:r>
          </w:p>
        </w:tc>
        <w:tc>
          <w:tcPr>
            <w:tcW w:w="0" w:type="auto"/>
            <w:tcBorders>
              <w:top w:val="nil"/>
              <w:left w:val="nil"/>
              <w:bottom w:val="double" w:sz="6" w:space="0" w:color="1F497D"/>
              <w:right w:val="double" w:sz="6" w:space="0" w:color="1F497D"/>
            </w:tcBorders>
            <w:shd w:val="clear" w:color="auto" w:fill="auto"/>
            <w:vAlign w:val="center"/>
            <w:hideMark/>
          </w:tcPr>
          <w:p w14:paraId="570B944A"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1826</w:t>
            </w:r>
          </w:p>
        </w:tc>
      </w:tr>
      <w:tr w:rsidR="00EB031E" w:rsidRPr="003F353D" w14:paraId="5EFA6EBB" w14:textId="77777777" w:rsidTr="00EB031E">
        <w:trPr>
          <w:trHeight w:val="310"/>
        </w:trPr>
        <w:tc>
          <w:tcPr>
            <w:tcW w:w="0" w:type="auto"/>
            <w:tcBorders>
              <w:top w:val="nil"/>
              <w:left w:val="double" w:sz="6" w:space="0" w:color="1F497D"/>
              <w:bottom w:val="double" w:sz="6" w:space="0" w:color="1F497D"/>
              <w:right w:val="double" w:sz="6" w:space="0" w:color="1F497D"/>
            </w:tcBorders>
            <w:shd w:val="clear" w:color="000000" w:fill="DCE6F1"/>
            <w:vAlign w:val="center"/>
            <w:hideMark/>
          </w:tcPr>
          <w:p w14:paraId="54E3A031" w14:textId="77777777" w:rsidR="000E325D" w:rsidRPr="00EB031E" w:rsidRDefault="000E325D" w:rsidP="000E325D">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Ordinarios</w:t>
            </w:r>
          </w:p>
        </w:tc>
        <w:tc>
          <w:tcPr>
            <w:tcW w:w="0" w:type="auto"/>
            <w:tcBorders>
              <w:top w:val="nil"/>
              <w:left w:val="nil"/>
              <w:bottom w:val="double" w:sz="6" w:space="0" w:color="1F497D"/>
              <w:right w:val="double" w:sz="6" w:space="0" w:color="1F497D"/>
            </w:tcBorders>
            <w:shd w:val="clear" w:color="000000" w:fill="DCE6F1"/>
            <w:vAlign w:val="center"/>
            <w:hideMark/>
          </w:tcPr>
          <w:p w14:paraId="3B8559BC"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131</w:t>
            </w:r>
          </w:p>
        </w:tc>
        <w:tc>
          <w:tcPr>
            <w:tcW w:w="0" w:type="auto"/>
            <w:tcBorders>
              <w:top w:val="nil"/>
              <w:left w:val="nil"/>
              <w:bottom w:val="double" w:sz="6" w:space="0" w:color="1F497D"/>
              <w:right w:val="double" w:sz="6" w:space="0" w:color="1F497D"/>
            </w:tcBorders>
            <w:shd w:val="clear" w:color="000000" w:fill="DCE6F1"/>
            <w:vAlign w:val="center"/>
            <w:hideMark/>
          </w:tcPr>
          <w:p w14:paraId="05D04449"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319</w:t>
            </w:r>
          </w:p>
        </w:tc>
        <w:tc>
          <w:tcPr>
            <w:tcW w:w="0" w:type="auto"/>
            <w:tcBorders>
              <w:top w:val="nil"/>
              <w:left w:val="nil"/>
              <w:bottom w:val="double" w:sz="6" w:space="0" w:color="1F497D"/>
              <w:right w:val="double" w:sz="6" w:space="0" w:color="1F497D"/>
            </w:tcBorders>
            <w:shd w:val="clear" w:color="000000" w:fill="DCE6F1"/>
            <w:vAlign w:val="center"/>
            <w:hideMark/>
          </w:tcPr>
          <w:p w14:paraId="21D866D5"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193</w:t>
            </w:r>
          </w:p>
        </w:tc>
        <w:tc>
          <w:tcPr>
            <w:tcW w:w="0" w:type="auto"/>
            <w:tcBorders>
              <w:top w:val="nil"/>
              <w:left w:val="nil"/>
              <w:bottom w:val="double" w:sz="6" w:space="0" w:color="1F497D"/>
              <w:right w:val="double" w:sz="6" w:space="0" w:color="1F497D"/>
            </w:tcBorders>
            <w:shd w:val="clear" w:color="000000" w:fill="DCE6F1"/>
            <w:vAlign w:val="center"/>
            <w:hideMark/>
          </w:tcPr>
          <w:p w14:paraId="05EDC9B5"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233</w:t>
            </w:r>
          </w:p>
        </w:tc>
        <w:tc>
          <w:tcPr>
            <w:tcW w:w="0" w:type="auto"/>
            <w:tcBorders>
              <w:top w:val="nil"/>
              <w:left w:val="nil"/>
              <w:bottom w:val="double" w:sz="6" w:space="0" w:color="1F497D"/>
              <w:right w:val="double" w:sz="6" w:space="0" w:color="1F497D"/>
            </w:tcBorders>
            <w:shd w:val="clear" w:color="000000" w:fill="DCE6F1"/>
            <w:vAlign w:val="center"/>
            <w:hideMark/>
          </w:tcPr>
          <w:p w14:paraId="0E5FCD71"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243</w:t>
            </w:r>
          </w:p>
        </w:tc>
        <w:tc>
          <w:tcPr>
            <w:tcW w:w="0" w:type="auto"/>
            <w:tcBorders>
              <w:top w:val="nil"/>
              <w:left w:val="nil"/>
              <w:bottom w:val="double" w:sz="6" w:space="0" w:color="1F497D"/>
              <w:right w:val="double" w:sz="6" w:space="0" w:color="1F497D"/>
            </w:tcBorders>
            <w:shd w:val="clear" w:color="000000" w:fill="DCE6F1"/>
            <w:vAlign w:val="center"/>
            <w:hideMark/>
          </w:tcPr>
          <w:p w14:paraId="0C5933BB"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205</w:t>
            </w:r>
          </w:p>
        </w:tc>
        <w:tc>
          <w:tcPr>
            <w:tcW w:w="0" w:type="auto"/>
            <w:tcBorders>
              <w:top w:val="nil"/>
              <w:left w:val="nil"/>
              <w:bottom w:val="double" w:sz="6" w:space="0" w:color="1F497D"/>
              <w:right w:val="double" w:sz="6" w:space="0" w:color="1F497D"/>
            </w:tcBorders>
            <w:shd w:val="clear" w:color="000000" w:fill="DCE6F1"/>
            <w:vAlign w:val="center"/>
            <w:hideMark/>
          </w:tcPr>
          <w:p w14:paraId="552251F1"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131</w:t>
            </w:r>
          </w:p>
        </w:tc>
        <w:tc>
          <w:tcPr>
            <w:tcW w:w="0" w:type="auto"/>
            <w:tcBorders>
              <w:top w:val="nil"/>
              <w:left w:val="nil"/>
              <w:bottom w:val="double" w:sz="6" w:space="0" w:color="1F497D"/>
              <w:right w:val="double" w:sz="6" w:space="0" w:color="1F497D"/>
            </w:tcBorders>
            <w:shd w:val="clear" w:color="000000" w:fill="DCE6F1"/>
            <w:vAlign w:val="center"/>
            <w:hideMark/>
          </w:tcPr>
          <w:p w14:paraId="20AE6F8E"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1455</w:t>
            </w:r>
          </w:p>
        </w:tc>
      </w:tr>
      <w:tr w:rsidR="000E325D" w:rsidRPr="003F353D" w14:paraId="4561305A" w14:textId="77777777" w:rsidTr="000E325D">
        <w:trPr>
          <w:trHeight w:val="31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876D519" w14:textId="77777777" w:rsidR="000E325D" w:rsidRPr="00EB031E" w:rsidRDefault="000E325D" w:rsidP="000E325D">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Otro tipo de asuntos</w:t>
            </w:r>
          </w:p>
        </w:tc>
        <w:tc>
          <w:tcPr>
            <w:tcW w:w="0" w:type="auto"/>
            <w:tcBorders>
              <w:top w:val="nil"/>
              <w:left w:val="nil"/>
              <w:bottom w:val="double" w:sz="6" w:space="0" w:color="1F497D"/>
              <w:right w:val="double" w:sz="6" w:space="0" w:color="1F497D"/>
            </w:tcBorders>
            <w:shd w:val="clear" w:color="auto" w:fill="auto"/>
            <w:vAlign w:val="center"/>
            <w:hideMark/>
          </w:tcPr>
          <w:p w14:paraId="11D9FFC5"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92</w:t>
            </w:r>
          </w:p>
        </w:tc>
        <w:tc>
          <w:tcPr>
            <w:tcW w:w="0" w:type="auto"/>
            <w:tcBorders>
              <w:top w:val="nil"/>
              <w:left w:val="nil"/>
              <w:bottom w:val="double" w:sz="6" w:space="0" w:color="1F497D"/>
              <w:right w:val="double" w:sz="6" w:space="0" w:color="1F497D"/>
            </w:tcBorders>
            <w:shd w:val="clear" w:color="auto" w:fill="auto"/>
            <w:vAlign w:val="center"/>
            <w:hideMark/>
          </w:tcPr>
          <w:p w14:paraId="7335DA51"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238</w:t>
            </w:r>
          </w:p>
        </w:tc>
        <w:tc>
          <w:tcPr>
            <w:tcW w:w="0" w:type="auto"/>
            <w:tcBorders>
              <w:top w:val="nil"/>
              <w:left w:val="nil"/>
              <w:bottom w:val="double" w:sz="6" w:space="0" w:color="1F497D"/>
              <w:right w:val="double" w:sz="6" w:space="0" w:color="1F497D"/>
            </w:tcBorders>
            <w:shd w:val="clear" w:color="auto" w:fill="auto"/>
            <w:vAlign w:val="center"/>
            <w:hideMark/>
          </w:tcPr>
          <w:p w14:paraId="740546A4"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75</w:t>
            </w:r>
          </w:p>
        </w:tc>
        <w:tc>
          <w:tcPr>
            <w:tcW w:w="0" w:type="auto"/>
            <w:tcBorders>
              <w:top w:val="nil"/>
              <w:left w:val="nil"/>
              <w:bottom w:val="double" w:sz="6" w:space="0" w:color="1F497D"/>
              <w:right w:val="double" w:sz="6" w:space="0" w:color="1F497D"/>
            </w:tcBorders>
            <w:shd w:val="clear" w:color="auto" w:fill="auto"/>
            <w:vAlign w:val="center"/>
            <w:hideMark/>
          </w:tcPr>
          <w:p w14:paraId="0973ED1B"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151</w:t>
            </w:r>
          </w:p>
        </w:tc>
        <w:tc>
          <w:tcPr>
            <w:tcW w:w="0" w:type="auto"/>
            <w:tcBorders>
              <w:top w:val="nil"/>
              <w:left w:val="nil"/>
              <w:bottom w:val="double" w:sz="6" w:space="0" w:color="1F497D"/>
              <w:right w:val="double" w:sz="6" w:space="0" w:color="1F497D"/>
            </w:tcBorders>
            <w:shd w:val="clear" w:color="auto" w:fill="auto"/>
            <w:vAlign w:val="center"/>
            <w:hideMark/>
          </w:tcPr>
          <w:p w14:paraId="3F5BCB19"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88</w:t>
            </w:r>
          </w:p>
        </w:tc>
        <w:tc>
          <w:tcPr>
            <w:tcW w:w="0" w:type="auto"/>
            <w:tcBorders>
              <w:top w:val="nil"/>
              <w:left w:val="nil"/>
              <w:bottom w:val="double" w:sz="6" w:space="0" w:color="1F497D"/>
              <w:right w:val="double" w:sz="6" w:space="0" w:color="1F497D"/>
            </w:tcBorders>
            <w:shd w:val="clear" w:color="auto" w:fill="auto"/>
            <w:vAlign w:val="center"/>
            <w:hideMark/>
          </w:tcPr>
          <w:p w14:paraId="3F8B50F4"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72</w:t>
            </w:r>
          </w:p>
        </w:tc>
        <w:tc>
          <w:tcPr>
            <w:tcW w:w="0" w:type="auto"/>
            <w:tcBorders>
              <w:top w:val="nil"/>
              <w:left w:val="nil"/>
              <w:bottom w:val="double" w:sz="6" w:space="0" w:color="1F497D"/>
              <w:right w:val="double" w:sz="6" w:space="0" w:color="1F497D"/>
            </w:tcBorders>
            <w:shd w:val="clear" w:color="auto" w:fill="auto"/>
            <w:vAlign w:val="center"/>
            <w:hideMark/>
          </w:tcPr>
          <w:p w14:paraId="5EAD766F"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50</w:t>
            </w:r>
          </w:p>
        </w:tc>
        <w:tc>
          <w:tcPr>
            <w:tcW w:w="0" w:type="auto"/>
            <w:tcBorders>
              <w:top w:val="nil"/>
              <w:left w:val="nil"/>
              <w:bottom w:val="double" w:sz="6" w:space="0" w:color="1F497D"/>
              <w:right w:val="double" w:sz="6" w:space="0" w:color="1F497D"/>
            </w:tcBorders>
            <w:shd w:val="clear" w:color="auto" w:fill="auto"/>
            <w:vAlign w:val="center"/>
            <w:hideMark/>
          </w:tcPr>
          <w:p w14:paraId="3FA55957"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766</w:t>
            </w:r>
          </w:p>
        </w:tc>
      </w:tr>
      <w:tr w:rsidR="00EB031E" w:rsidRPr="003F353D" w14:paraId="121E1AEF" w14:textId="77777777" w:rsidTr="00EB031E">
        <w:trPr>
          <w:trHeight w:val="310"/>
        </w:trPr>
        <w:tc>
          <w:tcPr>
            <w:tcW w:w="0" w:type="auto"/>
            <w:tcBorders>
              <w:top w:val="nil"/>
              <w:left w:val="double" w:sz="6" w:space="0" w:color="1F497D"/>
              <w:bottom w:val="double" w:sz="6" w:space="0" w:color="1F497D"/>
              <w:right w:val="double" w:sz="6" w:space="0" w:color="1F497D"/>
            </w:tcBorders>
            <w:shd w:val="clear" w:color="000000" w:fill="DCE6F1"/>
            <w:vAlign w:val="center"/>
            <w:hideMark/>
          </w:tcPr>
          <w:p w14:paraId="3C88CD0E" w14:textId="77777777" w:rsidR="000E325D" w:rsidRPr="00EB031E" w:rsidRDefault="000E325D" w:rsidP="000E325D">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Monitorio</w:t>
            </w:r>
          </w:p>
        </w:tc>
        <w:tc>
          <w:tcPr>
            <w:tcW w:w="0" w:type="auto"/>
            <w:tcBorders>
              <w:top w:val="nil"/>
              <w:left w:val="nil"/>
              <w:bottom w:val="double" w:sz="6" w:space="0" w:color="1F497D"/>
              <w:right w:val="double" w:sz="6" w:space="0" w:color="1F497D"/>
            </w:tcBorders>
            <w:shd w:val="clear" w:color="000000" w:fill="DCE6F1"/>
            <w:vAlign w:val="center"/>
            <w:hideMark/>
          </w:tcPr>
          <w:p w14:paraId="672F5C30"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66</w:t>
            </w:r>
          </w:p>
        </w:tc>
        <w:tc>
          <w:tcPr>
            <w:tcW w:w="0" w:type="auto"/>
            <w:tcBorders>
              <w:top w:val="nil"/>
              <w:left w:val="nil"/>
              <w:bottom w:val="double" w:sz="6" w:space="0" w:color="1F497D"/>
              <w:right w:val="double" w:sz="6" w:space="0" w:color="1F497D"/>
            </w:tcBorders>
            <w:shd w:val="clear" w:color="000000" w:fill="DCE6F1"/>
            <w:vAlign w:val="center"/>
            <w:hideMark/>
          </w:tcPr>
          <w:p w14:paraId="1EF08FEE"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208</w:t>
            </w:r>
          </w:p>
        </w:tc>
        <w:tc>
          <w:tcPr>
            <w:tcW w:w="0" w:type="auto"/>
            <w:tcBorders>
              <w:top w:val="nil"/>
              <w:left w:val="nil"/>
              <w:bottom w:val="double" w:sz="6" w:space="0" w:color="1F497D"/>
              <w:right w:val="double" w:sz="6" w:space="0" w:color="1F497D"/>
            </w:tcBorders>
            <w:shd w:val="clear" w:color="000000" w:fill="DCE6F1"/>
            <w:vAlign w:val="center"/>
            <w:hideMark/>
          </w:tcPr>
          <w:p w14:paraId="0DCE65EC"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83</w:t>
            </w:r>
          </w:p>
        </w:tc>
        <w:tc>
          <w:tcPr>
            <w:tcW w:w="0" w:type="auto"/>
            <w:tcBorders>
              <w:top w:val="nil"/>
              <w:left w:val="nil"/>
              <w:bottom w:val="double" w:sz="6" w:space="0" w:color="1F497D"/>
              <w:right w:val="double" w:sz="6" w:space="0" w:color="1F497D"/>
            </w:tcBorders>
            <w:shd w:val="clear" w:color="000000" w:fill="DCE6F1"/>
            <w:vAlign w:val="center"/>
            <w:hideMark/>
          </w:tcPr>
          <w:p w14:paraId="4228B4A6"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109</w:t>
            </w:r>
          </w:p>
        </w:tc>
        <w:tc>
          <w:tcPr>
            <w:tcW w:w="0" w:type="auto"/>
            <w:tcBorders>
              <w:top w:val="nil"/>
              <w:left w:val="nil"/>
              <w:bottom w:val="double" w:sz="6" w:space="0" w:color="1F497D"/>
              <w:right w:val="double" w:sz="6" w:space="0" w:color="1F497D"/>
            </w:tcBorders>
            <w:shd w:val="clear" w:color="000000" w:fill="DCE6F1"/>
            <w:vAlign w:val="center"/>
            <w:hideMark/>
          </w:tcPr>
          <w:p w14:paraId="2EA71AB3"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35</w:t>
            </w:r>
          </w:p>
        </w:tc>
        <w:tc>
          <w:tcPr>
            <w:tcW w:w="0" w:type="auto"/>
            <w:tcBorders>
              <w:top w:val="nil"/>
              <w:left w:val="nil"/>
              <w:bottom w:val="double" w:sz="6" w:space="0" w:color="1F497D"/>
              <w:right w:val="double" w:sz="6" w:space="0" w:color="1F497D"/>
            </w:tcBorders>
            <w:shd w:val="clear" w:color="000000" w:fill="DCE6F1"/>
            <w:vAlign w:val="center"/>
            <w:hideMark/>
          </w:tcPr>
          <w:p w14:paraId="5BB80910"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14</w:t>
            </w:r>
          </w:p>
        </w:tc>
        <w:tc>
          <w:tcPr>
            <w:tcW w:w="0" w:type="auto"/>
            <w:tcBorders>
              <w:top w:val="nil"/>
              <w:left w:val="nil"/>
              <w:bottom w:val="double" w:sz="6" w:space="0" w:color="1F497D"/>
              <w:right w:val="double" w:sz="6" w:space="0" w:color="1F497D"/>
            </w:tcBorders>
            <w:shd w:val="clear" w:color="000000" w:fill="DCE6F1"/>
            <w:vAlign w:val="center"/>
            <w:hideMark/>
          </w:tcPr>
          <w:p w14:paraId="3E4081F4"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90</w:t>
            </w:r>
          </w:p>
        </w:tc>
        <w:tc>
          <w:tcPr>
            <w:tcW w:w="0" w:type="auto"/>
            <w:tcBorders>
              <w:top w:val="nil"/>
              <w:left w:val="nil"/>
              <w:bottom w:val="double" w:sz="6" w:space="0" w:color="1F497D"/>
              <w:right w:val="double" w:sz="6" w:space="0" w:color="1F497D"/>
            </w:tcBorders>
            <w:shd w:val="clear" w:color="000000" w:fill="DCE6F1"/>
            <w:vAlign w:val="center"/>
            <w:hideMark/>
          </w:tcPr>
          <w:p w14:paraId="4BC650FF"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605</w:t>
            </w:r>
          </w:p>
        </w:tc>
      </w:tr>
      <w:tr w:rsidR="000E325D" w:rsidRPr="003F353D" w14:paraId="69F78433" w14:textId="77777777" w:rsidTr="000E325D">
        <w:trPr>
          <w:trHeight w:val="31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27FC0390" w14:textId="77777777" w:rsidR="000E325D" w:rsidRPr="00EB031E" w:rsidRDefault="000E325D" w:rsidP="000E325D">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Sucesiones</w:t>
            </w:r>
          </w:p>
        </w:tc>
        <w:tc>
          <w:tcPr>
            <w:tcW w:w="0" w:type="auto"/>
            <w:tcBorders>
              <w:top w:val="nil"/>
              <w:left w:val="nil"/>
              <w:bottom w:val="double" w:sz="6" w:space="0" w:color="1F497D"/>
              <w:right w:val="double" w:sz="6" w:space="0" w:color="1F497D"/>
            </w:tcBorders>
            <w:shd w:val="clear" w:color="auto" w:fill="auto"/>
            <w:vAlign w:val="center"/>
            <w:hideMark/>
          </w:tcPr>
          <w:p w14:paraId="0A2182C2"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33</w:t>
            </w:r>
          </w:p>
        </w:tc>
        <w:tc>
          <w:tcPr>
            <w:tcW w:w="0" w:type="auto"/>
            <w:tcBorders>
              <w:top w:val="nil"/>
              <w:left w:val="nil"/>
              <w:bottom w:val="double" w:sz="6" w:space="0" w:color="1F497D"/>
              <w:right w:val="double" w:sz="6" w:space="0" w:color="1F497D"/>
            </w:tcBorders>
            <w:shd w:val="clear" w:color="auto" w:fill="auto"/>
            <w:vAlign w:val="center"/>
            <w:hideMark/>
          </w:tcPr>
          <w:p w14:paraId="42A1FEFA"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117</w:t>
            </w:r>
          </w:p>
        </w:tc>
        <w:tc>
          <w:tcPr>
            <w:tcW w:w="0" w:type="auto"/>
            <w:tcBorders>
              <w:top w:val="nil"/>
              <w:left w:val="nil"/>
              <w:bottom w:val="double" w:sz="6" w:space="0" w:color="1F497D"/>
              <w:right w:val="double" w:sz="6" w:space="0" w:color="1F497D"/>
            </w:tcBorders>
            <w:shd w:val="clear" w:color="auto" w:fill="auto"/>
            <w:vAlign w:val="center"/>
            <w:hideMark/>
          </w:tcPr>
          <w:p w14:paraId="5BBFA6FE"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42</w:t>
            </w:r>
          </w:p>
        </w:tc>
        <w:tc>
          <w:tcPr>
            <w:tcW w:w="0" w:type="auto"/>
            <w:tcBorders>
              <w:top w:val="nil"/>
              <w:left w:val="nil"/>
              <w:bottom w:val="double" w:sz="6" w:space="0" w:color="1F497D"/>
              <w:right w:val="double" w:sz="6" w:space="0" w:color="1F497D"/>
            </w:tcBorders>
            <w:shd w:val="clear" w:color="auto" w:fill="auto"/>
            <w:vAlign w:val="center"/>
            <w:hideMark/>
          </w:tcPr>
          <w:p w14:paraId="627646DF"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137</w:t>
            </w:r>
          </w:p>
        </w:tc>
        <w:tc>
          <w:tcPr>
            <w:tcW w:w="0" w:type="auto"/>
            <w:tcBorders>
              <w:top w:val="nil"/>
              <w:left w:val="nil"/>
              <w:bottom w:val="double" w:sz="6" w:space="0" w:color="1F497D"/>
              <w:right w:val="double" w:sz="6" w:space="0" w:color="1F497D"/>
            </w:tcBorders>
            <w:shd w:val="clear" w:color="auto" w:fill="auto"/>
            <w:vAlign w:val="center"/>
            <w:hideMark/>
          </w:tcPr>
          <w:p w14:paraId="6E89C8BA"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85</w:t>
            </w:r>
          </w:p>
        </w:tc>
        <w:tc>
          <w:tcPr>
            <w:tcW w:w="0" w:type="auto"/>
            <w:tcBorders>
              <w:top w:val="nil"/>
              <w:left w:val="nil"/>
              <w:bottom w:val="double" w:sz="6" w:space="0" w:color="1F497D"/>
              <w:right w:val="double" w:sz="6" w:space="0" w:color="1F497D"/>
            </w:tcBorders>
            <w:shd w:val="clear" w:color="auto" w:fill="auto"/>
            <w:vAlign w:val="center"/>
            <w:hideMark/>
          </w:tcPr>
          <w:p w14:paraId="36E6811B"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33</w:t>
            </w:r>
          </w:p>
        </w:tc>
        <w:tc>
          <w:tcPr>
            <w:tcW w:w="0" w:type="auto"/>
            <w:tcBorders>
              <w:top w:val="nil"/>
              <w:left w:val="nil"/>
              <w:bottom w:val="double" w:sz="6" w:space="0" w:color="1F497D"/>
              <w:right w:val="double" w:sz="6" w:space="0" w:color="1F497D"/>
            </w:tcBorders>
            <w:shd w:val="clear" w:color="auto" w:fill="auto"/>
            <w:vAlign w:val="center"/>
            <w:hideMark/>
          </w:tcPr>
          <w:p w14:paraId="43F3B443"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45</w:t>
            </w:r>
          </w:p>
        </w:tc>
        <w:tc>
          <w:tcPr>
            <w:tcW w:w="0" w:type="auto"/>
            <w:tcBorders>
              <w:top w:val="nil"/>
              <w:left w:val="nil"/>
              <w:bottom w:val="double" w:sz="6" w:space="0" w:color="1F497D"/>
              <w:right w:val="double" w:sz="6" w:space="0" w:color="1F497D"/>
            </w:tcBorders>
            <w:shd w:val="clear" w:color="auto" w:fill="auto"/>
            <w:vAlign w:val="center"/>
            <w:hideMark/>
          </w:tcPr>
          <w:p w14:paraId="775744CE"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492</w:t>
            </w:r>
          </w:p>
        </w:tc>
      </w:tr>
      <w:tr w:rsidR="00EB031E" w:rsidRPr="003F353D" w14:paraId="222C8798" w14:textId="77777777" w:rsidTr="00EB031E">
        <w:trPr>
          <w:trHeight w:val="310"/>
        </w:trPr>
        <w:tc>
          <w:tcPr>
            <w:tcW w:w="0" w:type="auto"/>
            <w:tcBorders>
              <w:top w:val="nil"/>
              <w:left w:val="double" w:sz="6" w:space="0" w:color="1F497D"/>
              <w:bottom w:val="double" w:sz="6" w:space="0" w:color="1F497D"/>
              <w:right w:val="double" w:sz="6" w:space="0" w:color="1F497D"/>
            </w:tcBorders>
            <w:shd w:val="clear" w:color="000000" w:fill="DCE6F1"/>
            <w:vAlign w:val="center"/>
            <w:hideMark/>
          </w:tcPr>
          <w:p w14:paraId="579791FC" w14:textId="77777777" w:rsidR="000E325D" w:rsidRPr="00EB031E" w:rsidRDefault="000E325D" w:rsidP="000E325D">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lastRenderedPageBreak/>
              <w:t>Incidentes</w:t>
            </w:r>
          </w:p>
        </w:tc>
        <w:tc>
          <w:tcPr>
            <w:tcW w:w="0" w:type="auto"/>
            <w:tcBorders>
              <w:top w:val="nil"/>
              <w:left w:val="nil"/>
              <w:bottom w:val="double" w:sz="6" w:space="0" w:color="1F497D"/>
              <w:right w:val="double" w:sz="6" w:space="0" w:color="1F497D"/>
            </w:tcBorders>
            <w:shd w:val="clear" w:color="000000" w:fill="DCE6F1"/>
            <w:vAlign w:val="center"/>
            <w:hideMark/>
          </w:tcPr>
          <w:p w14:paraId="6CC85B3E"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21</w:t>
            </w:r>
          </w:p>
        </w:tc>
        <w:tc>
          <w:tcPr>
            <w:tcW w:w="0" w:type="auto"/>
            <w:tcBorders>
              <w:top w:val="nil"/>
              <w:left w:val="nil"/>
              <w:bottom w:val="double" w:sz="6" w:space="0" w:color="1F497D"/>
              <w:right w:val="double" w:sz="6" w:space="0" w:color="1F497D"/>
            </w:tcBorders>
            <w:shd w:val="clear" w:color="000000" w:fill="DCE6F1"/>
            <w:vAlign w:val="center"/>
            <w:hideMark/>
          </w:tcPr>
          <w:p w14:paraId="5D614C89"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161</w:t>
            </w:r>
          </w:p>
        </w:tc>
        <w:tc>
          <w:tcPr>
            <w:tcW w:w="0" w:type="auto"/>
            <w:tcBorders>
              <w:top w:val="nil"/>
              <w:left w:val="nil"/>
              <w:bottom w:val="double" w:sz="6" w:space="0" w:color="1F497D"/>
              <w:right w:val="double" w:sz="6" w:space="0" w:color="1F497D"/>
            </w:tcBorders>
            <w:shd w:val="clear" w:color="000000" w:fill="DCE6F1"/>
            <w:vAlign w:val="center"/>
            <w:hideMark/>
          </w:tcPr>
          <w:p w14:paraId="78C21D13"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50</w:t>
            </w:r>
          </w:p>
        </w:tc>
        <w:tc>
          <w:tcPr>
            <w:tcW w:w="0" w:type="auto"/>
            <w:tcBorders>
              <w:top w:val="nil"/>
              <w:left w:val="nil"/>
              <w:bottom w:val="double" w:sz="6" w:space="0" w:color="1F497D"/>
              <w:right w:val="double" w:sz="6" w:space="0" w:color="1F497D"/>
            </w:tcBorders>
            <w:shd w:val="clear" w:color="000000" w:fill="DCE6F1"/>
            <w:vAlign w:val="center"/>
            <w:hideMark/>
          </w:tcPr>
          <w:p w14:paraId="49E26507"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40</w:t>
            </w:r>
          </w:p>
        </w:tc>
        <w:tc>
          <w:tcPr>
            <w:tcW w:w="0" w:type="auto"/>
            <w:tcBorders>
              <w:top w:val="nil"/>
              <w:left w:val="nil"/>
              <w:bottom w:val="double" w:sz="6" w:space="0" w:color="1F497D"/>
              <w:right w:val="double" w:sz="6" w:space="0" w:color="1F497D"/>
            </w:tcBorders>
            <w:shd w:val="clear" w:color="000000" w:fill="DCE6F1"/>
            <w:vAlign w:val="center"/>
            <w:hideMark/>
          </w:tcPr>
          <w:p w14:paraId="0D4A9297"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67</w:t>
            </w:r>
          </w:p>
        </w:tc>
        <w:tc>
          <w:tcPr>
            <w:tcW w:w="0" w:type="auto"/>
            <w:tcBorders>
              <w:top w:val="nil"/>
              <w:left w:val="nil"/>
              <w:bottom w:val="double" w:sz="6" w:space="0" w:color="1F497D"/>
              <w:right w:val="double" w:sz="6" w:space="0" w:color="1F497D"/>
            </w:tcBorders>
            <w:shd w:val="clear" w:color="000000" w:fill="DCE6F1"/>
            <w:vAlign w:val="center"/>
            <w:hideMark/>
          </w:tcPr>
          <w:p w14:paraId="00E6648E"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43</w:t>
            </w:r>
          </w:p>
        </w:tc>
        <w:tc>
          <w:tcPr>
            <w:tcW w:w="0" w:type="auto"/>
            <w:tcBorders>
              <w:top w:val="nil"/>
              <w:left w:val="nil"/>
              <w:bottom w:val="double" w:sz="6" w:space="0" w:color="1F497D"/>
              <w:right w:val="double" w:sz="6" w:space="0" w:color="1F497D"/>
            </w:tcBorders>
            <w:shd w:val="clear" w:color="000000" w:fill="DCE6F1"/>
            <w:vAlign w:val="center"/>
            <w:hideMark/>
          </w:tcPr>
          <w:p w14:paraId="21AC49D2"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94</w:t>
            </w:r>
          </w:p>
        </w:tc>
        <w:tc>
          <w:tcPr>
            <w:tcW w:w="0" w:type="auto"/>
            <w:tcBorders>
              <w:top w:val="nil"/>
              <w:left w:val="nil"/>
              <w:bottom w:val="double" w:sz="6" w:space="0" w:color="1F497D"/>
              <w:right w:val="double" w:sz="6" w:space="0" w:color="1F497D"/>
            </w:tcBorders>
            <w:shd w:val="clear" w:color="000000" w:fill="DCE6F1"/>
            <w:vAlign w:val="center"/>
            <w:hideMark/>
          </w:tcPr>
          <w:p w14:paraId="6998B389"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476</w:t>
            </w:r>
          </w:p>
        </w:tc>
      </w:tr>
      <w:tr w:rsidR="000E325D" w:rsidRPr="003F353D" w14:paraId="4C247119" w14:textId="77777777" w:rsidTr="000E325D">
        <w:trPr>
          <w:trHeight w:val="31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215A94E8" w14:textId="77777777" w:rsidR="000E325D" w:rsidRPr="00EB031E" w:rsidRDefault="000E325D" w:rsidP="000E325D">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Monitorio arrendaticio</w:t>
            </w:r>
          </w:p>
        </w:tc>
        <w:tc>
          <w:tcPr>
            <w:tcW w:w="0" w:type="auto"/>
            <w:tcBorders>
              <w:top w:val="nil"/>
              <w:left w:val="nil"/>
              <w:bottom w:val="double" w:sz="6" w:space="0" w:color="1F497D"/>
              <w:right w:val="double" w:sz="6" w:space="0" w:color="1F497D"/>
            </w:tcBorders>
            <w:shd w:val="clear" w:color="auto" w:fill="auto"/>
            <w:vAlign w:val="center"/>
            <w:hideMark/>
          </w:tcPr>
          <w:p w14:paraId="2B0F5516"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215</w:t>
            </w:r>
          </w:p>
        </w:tc>
        <w:tc>
          <w:tcPr>
            <w:tcW w:w="0" w:type="auto"/>
            <w:tcBorders>
              <w:top w:val="nil"/>
              <w:left w:val="nil"/>
              <w:bottom w:val="double" w:sz="6" w:space="0" w:color="1F497D"/>
              <w:right w:val="double" w:sz="6" w:space="0" w:color="1F497D"/>
            </w:tcBorders>
            <w:shd w:val="clear" w:color="auto" w:fill="auto"/>
            <w:vAlign w:val="center"/>
            <w:hideMark/>
          </w:tcPr>
          <w:p w14:paraId="063FE771"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57</w:t>
            </w:r>
          </w:p>
        </w:tc>
        <w:tc>
          <w:tcPr>
            <w:tcW w:w="0" w:type="auto"/>
            <w:tcBorders>
              <w:top w:val="nil"/>
              <w:left w:val="nil"/>
              <w:bottom w:val="double" w:sz="6" w:space="0" w:color="1F497D"/>
              <w:right w:val="double" w:sz="6" w:space="0" w:color="1F497D"/>
            </w:tcBorders>
            <w:shd w:val="clear" w:color="auto" w:fill="auto"/>
            <w:vAlign w:val="center"/>
            <w:hideMark/>
          </w:tcPr>
          <w:p w14:paraId="5C9E813D"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30</w:t>
            </w:r>
          </w:p>
        </w:tc>
        <w:tc>
          <w:tcPr>
            <w:tcW w:w="0" w:type="auto"/>
            <w:tcBorders>
              <w:top w:val="nil"/>
              <w:left w:val="nil"/>
              <w:bottom w:val="double" w:sz="6" w:space="0" w:color="1F497D"/>
              <w:right w:val="double" w:sz="6" w:space="0" w:color="1F497D"/>
            </w:tcBorders>
            <w:shd w:val="clear" w:color="auto" w:fill="auto"/>
            <w:vAlign w:val="center"/>
            <w:hideMark/>
          </w:tcPr>
          <w:p w14:paraId="47D0DAED"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101</w:t>
            </w:r>
          </w:p>
        </w:tc>
        <w:tc>
          <w:tcPr>
            <w:tcW w:w="0" w:type="auto"/>
            <w:tcBorders>
              <w:top w:val="nil"/>
              <w:left w:val="nil"/>
              <w:bottom w:val="double" w:sz="6" w:space="0" w:color="1F497D"/>
              <w:right w:val="double" w:sz="6" w:space="0" w:color="1F497D"/>
            </w:tcBorders>
            <w:shd w:val="clear" w:color="auto" w:fill="auto"/>
            <w:vAlign w:val="center"/>
            <w:hideMark/>
          </w:tcPr>
          <w:p w14:paraId="326B80CD"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24</w:t>
            </w:r>
          </w:p>
        </w:tc>
        <w:tc>
          <w:tcPr>
            <w:tcW w:w="0" w:type="auto"/>
            <w:tcBorders>
              <w:top w:val="nil"/>
              <w:left w:val="nil"/>
              <w:bottom w:val="double" w:sz="6" w:space="0" w:color="1F497D"/>
              <w:right w:val="double" w:sz="6" w:space="0" w:color="1F497D"/>
            </w:tcBorders>
            <w:shd w:val="clear" w:color="auto" w:fill="auto"/>
            <w:vAlign w:val="center"/>
            <w:hideMark/>
          </w:tcPr>
          <w:p w14:paraId="613915FB"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35</w:t>
            </w:r>
          </w:p>
        </w:tc>
        <w:tc>
          <w:tcPr>
            <w:tcW w:w="0" w:type="auto"/>
            <w:tcBorders>
              <w:top w:val="nil"/>
              <w:left w:val="nil"/>
              <w:bottom w:val="double" w:sz="6" w:space="0" w:color="1F497D"/>
              <w:right w:val="double" w:sz="6" w:space="0" w:color="1F497D"/>
            </w:tcBorders>
            <w:shd w:val="clear" w:color="auto" w:fill="auto"/>
            <w:vAlign w:val="center"/>
            <w:hideMark/>
          </w:tcPr>
          <w:p w14:paraId="660D3265"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25</w:t>
            </w:r>
          </w:p>
        </w:tc>
        <w:tc>
          <w:tcPr>
            <w:tcW w:w="0" w:type="auto"/>
            <w:tcBorders>
              <w:top w:val="nil"/>
              <w:left w:val="nil"/>
              <w:bottom w:val="double" w:sz="6" w:space="0" w:color="1F497D"/>
              <w:right w:val="double" w:sz="6" w:space="0" w:color="1F497D"/>
            </w:tcBorders>
            <w:shd w:val="clear" w:color="auto" w:fill="auto"/>
            <w:vAlign w:val="center"/>
            <w:hideMark/>
          </w:tcPr>
          <w:p w14:paraId="23534255"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487</w:t>
            </w:r>
          </w:p>
        </w:tc>
      </w:tr>
      <w:tr w:rsidR="00EB031E" w:rsidRPr="003F353D" w14:paraId="26EEA5A9" w14:textId="77777777" w:rsidTr="00EB031E">
        <w:trPr>
          <w:trHeight w:val="310"/>
        </w:trPr>
        <w:tc>
          <w:tcPr>
            <w:tcW w:w="0" w:type="auto"/>
            <w:tcBorders>
              <w:top w:val="nil"/>
              <w:left w:val="double" w:sz="6" w:space="0" w:color="1F497D"/>
              <w:bottom w:val="double" w:sz="6" w:space="0" w:color="1F497D"/>
              <w:right w:val="double" w:sz="6" w:space="0" w:color="1F497D"/>
            </w:tcBorders>
            <w:shd w:val="clear" w:color="000000" w:fill="DCE6F1"/>
            <w:vAlign w:val="center"/>
            <w:hideMark/>
          </w:tcPr>
          <w:p w14:paraId="2D13AB18" w14:textId="77777777" w:rsidR="000E325D" w:rsidRPr="00EB031E" w:rsidRDefault="000E325D" w:rsidP="000E325D">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Ejecución sentencia</w:t>
            </w:r>
          </w:p>
        </w:tc>
        <w:tc>
          <w:tcPr>
            <w:tcW w:w="0" w:type="auto"/>
            <w:tcBorders>
              <w:top w:val="nil"/>
              <w:left w:val="nil"/>
              <w:bottom w:val="double" w:sz="6" w:space="0" w:color="1F497D"/>
              <w:right w:val="double" w:sz="6" w:space="0" w:color="1F497D"/>
            </w:tcBorders>
            <w:shd w:val="clear" w:color="000000" w:fill="DCE6F1"/>
            <w:vAlign w:val="center"/>
            <w:hideMark/>
          </w:tcPr>
          <w:p w14:paraId="6697777B"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24</w:t>
            </w:r>
          </w:p>
        </w:tc>
        <w:tc>
          <w:tcPr>
            <w:tcW w:w="0" w:type="auto"/>
            <w:tcBorders>
              <w:top w:val="nil"/>
              <w:left w:val="nil"/>
              <w:bottom w:val="double" w:sz="6" w:space="0" w:color="1F497D"/>
              <w:right w:val="double" w:sz="6" w:space="0" w:color="1F497D"/>
            </w:tcBorders>
            <w:shd w:val="clear" w:color="000000" w:fill="DCE6F1"/>
            <w:vAlign w:val="center"/>
            <w:hideMark/>
          </w:tcPr>
          <w:p w14:paraId="5BCF99A0"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123</w:t>
            </w:r>
          </w:p>
        </w:tc>
        <w:tc>
          <w:tcPr>
            <w:tcW w:w="0" w:type="auto"/>
            <w:tcBorders>
              <w:top w:val="nil"/>
              <w:left w:val="nil"/>
              <w:bottom w:val="double" w:sz="6" w:space="0" w:color="1F497D"/>
              <w:right w:val="double" w:sz="6" w:space="0" w:color="1F497D"/>
            </w:tcBorders>
            <w:shd w:val="clear" w:color="000000" w:fill="DCE6F1"/>
            <w:vAlign w:val="center"/>
            <w:hideMark/>
          </w:tcPr>
          <w:p w14:paraId="46457733"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41</w:t>
            </w:r>
          </w:p>
        </w:tc>
        <w:tc>
          <w:tcPr>
            <w:tcW w:w="0" w:type="auto"/>
            <w:tcBorders>
              <w:top w:val="nil"/>
              <w:left w:val="nil"/>
              <w:bottom w:val="double" w:sz="6" w:space="0" w:color="1F497D"/>
              <w:right w:val="double" w:sz="6" w:space="0" w:color="1F497D"/>
            </w:tcBorders>
            <w:shd w:val="clear" w:color="000000" w:fill="DCE6F1"/>
            <w:vAlign w:val="center"/>
            <w:hideMark/>
          </w:tcPr>
          <w:p w14:paraId="71FAC4D4"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113</w:t>
            </w:r>
          </w:p>
        </w:tc>
        <w:tc>
          <w:tcPr>
            <w:tcW w:w="0" w:type="auto"/>
            <w:tcBorders>
              <w:top w:val="nil"/>
              <w:left w:val="nil"/>
              <w:bottom w:val="double" w:sz="6" w:space="0" w:color="1F497D"/>
              <w:right w:val="double" w:sz="6" w:space="0" w:color="1F497D"/>
            </w:tcBorders>
            <w:shd w:val="clear" w:color="000000" w:fill="DCE6F1"/>
            <w:vAlign w:val="center"/>
            <w:hideMark/>
          </w:tcPr>
          <w:p w14:paraId="3C5DE909"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32</w:t>
            </w:r>
          </w:p>
        </w:tc>
        <w:tc>
          <w:tcPr>
            <w:tcW w:w="0" w:type="auto"/>
            <w:tcBorders>
              <w:top w:val="nil"/>
              <w:left w:val="nil"/>
              <w:bottom w:val="double" w:sz="6" w:space="0" w:color="1F497D"/>
              <w:right w:val="double" w:sz="6" w:space="0" w:color="1F497D"/>
            </w:tcBorders>
            <w:shd w:val="clear" w:color="000000" w:fill="DCE6F1"/>
            <w:vAlign w:val="center"/>
            <w:hideMark/>
          </w:tcPr>
          <w:p w14:paraId="79C1C706"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64</w:t>
            </w:r>
          </w:p>
        </w:tc>
        <w:tc>
          <w:tcPr>
            <w:tcW w:w="0" w:type="auto"/>
            <w:tcBorders>
              <w:top w:val="nil"/>
              <w:left w:val="nil"/>
              <w:bottom w:val="double" w:sz="6" w:space="0" w:color="1F497D"/>
              <w:right w:val="double" w:sz="6" w:space="0" w:color="1F497D"/>
            </w:tcBorders>
            <w:shd w:val="clear" w:color="000000" w:fill="DCE6F1"/>
            <w:vAlign w:val="center"/>
            <w:hideMark/>
          </w:tcPr>
          <w:p w14:paraId="19FD1955"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29</w:t>
            </w:r>
          </w:p>
        </w:tc>
        <w:tc>
          <w:tcPr>
            <w:tcW w:w="0" w:type="auto"/>
            <w:tcBorders>
              <w:top w:val="nil"/>
              <w:left w:val="nil"/>
              <w:bottom w:val="double" w:sz="6" w:space="0" w:color="1F497D"/>
              <w:right w:val="double" w:sz="6" w:space="0" w:color="1F497D"/>
            </w:tcBorders>
            <w:shd w:val="clear" w:color="000000" w:fill="DCE6F1"/>
            <w:vAlign w:val="center"/>
            <w:hideMark/>
          </w:tcPr>
          <w:p w14:paraId="1DC197F0"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426</w:t>
            </w:r>
          </w:p>
        </w:tc>
      </w:tr>
      <w:tr w:rsidR="000E325D" w:rsidRPr="003F353D" w14:paraId="7E059135" w14:textId="77777777" w:rsidTr="000E325D">
        <w:trPr>
          <w:trHeight w:val="31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2C560536" w14:textId="77777777" w:rsidR="000E325D" w:rsidRPr="00EB031E" w:rsidRDefault="000E325D" w:rsidP="000E325D">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Interdictos</w:t>
            </w:r>
          </w:p>
        </w:tc>
        <w:tc>
          <w:tcPr>
            <w:tcW w:w="0" w:type="auto"/>
            <w:tcBorders>
              <w:top w:val="nil"/>
              <w:left w:val="nil"/>
              <w:bottom w:val="double" w:sz="6" w:space="0" w:color="1F497D"/>
              <w:right w:val="double" w:sz="6" w:space="0" w:color="1F497D"/>
            </w:tcBorders>
            <w:shd w:val="clear" w:color="auto" w:fill="auto"/>
            <w:vAlign w:val="center"/>
            <w:hideMark/>
          </w:tcPr>
          <w:p w14:paraId="7B12A0A9"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20</w:t>
            </w:r>
          </w:p>
        </w:tc>
        <w:tc>
          <w:tcPr>
            <w:tcW w:w="0" w:type="auto"/>
            <w:tcBorders>
              <w:top w:val="nil"/>
              <w:left w:val="nil"/>
              <w:bottom w:val="double" w:sz="6" w:space="0" w:color="1F497D"/>
              <w:right w:val="double" w:sz="6" w:space="0" w:color="1F497D"/>
            </w:tcBorders>
            <w:shd w:val="clear" w:color="auto" w:fill="auto"/>
            <w:vAlign w:val="center"/>
            <w:hideMark/>
          </w:tcPr>
          <w:p w14:paraId="14AA6E81"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56</w:t>
            </w:r>
          </w:p>
        </w:tc>
        <w:tc>
          <w:tcPr>
            <w:tcW w:w="0" w:type="auto"/>
            <w:tcBorders>
              <w:top w:val="nil"/>
              <w:left w:val="nil"/>
              <w:bottom w:val="double" w:sz="6" w:space="0" w:color="1F497D"/>
              <w:right w:val="double" w:sz="6" w:space="0" w:color="1F497D"/>
            </w:tcBorders>
            <w:shd w:val="clear" w:color="auto" w:fill="auto"/>
            <w:vAlign w:val="center"/>
            <w:hideMark/>
          </w:tcPr>
          <w:p w14:paraId="695E0F1F"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26</w:t>
            </w:r>
          </w:p>
        </w:tc>
        <w:tc>
          <w:tcPr>
            <w:tcW w:w="0" w:type="auto"/>
            <w:tcBorders>
              <w:top w:val="nil"/>
              <w:left w:val="nil"/>
              <w:bottom w:val="double" w:sz="6" w:space="0" w:color="1F497D"/>
              <w:right w:val="double" w:sz="6" w:space="0" w:color="1F497D"/>
            </w:tcBorders>
            <w:shd w:val="clear" w:color="auto" w:fill="auto"/>
            <w:vAlign w:val="center"/>
            <w:hideMark/>
          </w:tcPr>
          <w:p w14:paraId="5877044F"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43</w:t>
            </w:r>
          </w:p>
        </w:tc>
        <w:tc>
          <w:tcPr>
            <w:tcW w:w="0" w:type="auto"/>
            <w:tcBorders>
              <w:top w:val="nil"/>
              <w:left w:val="nil"/>
              <w:bottom w:val="double" w:sz="6" w:space="0" w:color="1F497D"/>
              <w:right w:val="double" w:sz="6" w:space="0" w:color="1F497D"/>
            </w:tcBorders>
            <w:shd w:val="clear" w:color="auto" w:fill="auto"/>
            <w:vAlign w:val="center"/>
            <w:hideMark/>
          </w:tcPr>
          <w:p w14:paraId="68ED21B0"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41</w:t>
            </w:r>
          </w:p>
        </w:tc>
        <w:tc>
          <w:tcPr>
            <w:tcW w:w="0" w:type="auto"/>
            <w:tcBorders>
              <w:top w:val="nil"/>
              <w:left w:val="nil"/>
              <w:bottom w:val="double" w:sz="6" w:space="0" w:color="1F497D"/>
              <w:right w:val="double" w:sz="6" w:space="0" w:color="1F497D"/>
            </w:tcBorders>
            <w:shd w:val="clear" w:color="auto" w:fill="auto"/>
            <w:vAlign w:val="center"/>
            <w:hideMark/>
          </w:tcPr>
          <w:p w14:paraId="6C3258B7"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27</w:t>
            </w:r>
          </w:p>
        </w:tc>
        <w:tc>
          <w:tcPr>
            <w:tcW w:w="0" w:type="auto"/>
            <w:tcBorders>
              <w:top w:val="nil"/>
              <w:left w:val="nil"/>
              <w:bottom w:val="double" w:sz="6" w:space="0" w:color="1F497D"/>
              <w:right w:val="double" w:sz="6" w:space="0" w:color="1F497D"/>
            </w:tcBorders>
            <w:shd w:val="clear" w:color="auto" w:fill="auto"/>
            <w:vAlign w:val="center"/>
            <w:hideMark/>
          </w:tcPr>
          <w:p w14:paraId="62826761"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13</w:t>
            </w:r>
          </w:p>
        </w:tc>
        <w:tc>
          <w:tcPr>
            <w:tcW w:w="0" w:type="auto"/>
            <w:tcBorders>
              <w:top w:val="nil"/>
              <w:left w:val="nil"/>
              <w:bottom w:val="double" w:sz="6" w:space="0" w:color="1F497D"/>
              <w:right w:val="double" w:sz="6" w:space="0" w:color="1F497D"/>
            </w:tcBorders>
            <w:shd w:val="clear" w:color="auto" w:fill="auto"/>
            <w:vAlign w:val="center"/>
            <w:hideMark/>
          </w:tcPr>
          <w:p w14:paraId="3FC4DAAA"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226</w:t>
            </w:r>
          </w:p>
        </w:tc>
      </w:tr>
      <w:tr w:rsidR="00EB031E" w:rsidRPr="003F353D" w14:paraId="5105FB36" w14:textId="77777777" w:rsidTr="00EB031E">
        <w:trPr>
          <w:trHeight w:val="310"/>
        </w:trPr>
        <w:tc>
          <w:tcPr>
            <w:tcW w:w="0" w:type="auto"/>
            <w:tcBorders>
              <w:top w:val="nil"/>
              <w:left w:val="double" w:sz="6" w:space="0" w:color="1F497D"/>
              <w:bottom w:val="double" w:sz="6" w:space="0" w:color="1F497D"/>
              <w:right w:val="double" w:sz="6" w:space="0" w:color="1F497D"/>
            </w:tcBorders>
            <w:shd w:val="clear" w:color="000000" w:fill="DCE6F1"/>
            <w:vAlign w:val="center"/>
            <w:hideMark/>
          </w:tcPr>
          <w:p w14:paraId="36A09C36" w14:textId="77777777" w:rsidR="000E325D" w:rsidRPr="00EB031E" w:rsidRDefault="000E325D" w:rsidP="000E325D">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Información posesoria</w:t>
            </w:r>
          </w:p>
        </w:tc>
        <w:tc>
          <w:tcPr>
            <w:tcW w:w="0" w:type="auto"/>
            <w:tcBorders>
              <w:top w:val="nil"/>
              <w:left w:val="nil"/>
              <w:bottom w:val="double" w:sz="6" w:space="0" w:color="1F497D"/>
              <w:right w:val="double" w:sz="6" w:space="0" w:color="1F497D"/>
            </w:tcBorders>
            <w:shd w:val="clear" w:color="000000" w:fill="DCE6F1"/>
            <w:vAlign w:val="center"/>
            <w:hideMark/>
          </w:tcPr>
          <w:p w14:paraId="4A958421"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30</w:t>
            </w:r>
          </w:p>
        </w:tc>
        <w:tc>
          <w:tcPr>
            <w:tcW w:w="0" w:type="auto"/>
            <w:tcBorders>
              <w:top w:val="nil"/>
              <w:left w:val="nil"/>
              <w:bottom w:val="double" w:sz="6" w:space="0" w:color="1F497D"/>
              <w:right w:val="double" w:sz="6" w:space="0" w:color="1F497D"/>
            </w:tcBorders>
            <w:shd w:val="clear" w:color="000000" w:fill="DCE6F1"/>
            <w:vAlign w:val="center"/>
            <w:hideMark/>
          </w:tcPr>
          <w:p w14:paraId="64FACEE3"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25</w:t>
            </w:r>
          </w:p>
        </w:tc>
        <w:tc>
          <w:tcPr>
            <w:tcW w:w="0" w:type="auto"/>
            <w:tcBorders>
              <w:top w:val="nil"/>
              <w:left w:val="nil"/>
              <w:bottom w:val="double" w:sz="6" w:space="0" w:color="1F497D"/>
              <w:right w:val="double" w:sz="6" w:space="0" w:color="1F497D"/>
            </w:tcBorders>
            <w:shd w:val="clear" w:color="000000" w:fill="DCE6F1"/>
            <w:vAlign w:val="center"/>
            <w:hideMark/>
          </w:tcPr>
          <w:p w14:paraId="04DFBFB2"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7</w:t>
            </w:r>
          </w:p>
        </w:tc>
        <w:tc>
          <w:tcPr>
            <w:tcW w:w="0" w:type="auto"/>
            <w:tcBorders>
              <w:top w:val="nil"/>
              <w:left w:val="nil"/>
              <w:bottom w:val="double" w:sz="6" w:space="0" w:color="1F497D"/>
              <w:right w:val="double" w:sz="6" w:space="0" w:color="1F497D"/>
            </w:tcBorders>
            <w:shd w:val="clear" w:color="000000" w:fill="DCE6F1"/>
            <w:vAlign w:val="center"/>
            <w:hideMark/>
          </w:tcPr>
          <w:p w14:paraId="16C9D25A"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10</w:t>
            </w:r>
          </w:p>
        </w:tc>
        <w:tc>
          <w:tcPr>
            <w:tcW w:w="0" w:type="auto"/>
            <w:tcBorders>
              <w:top w:val="nil"/>
              <w:left w:val="nil"/>
              <w:bottom w:val="double" w:sz="6" w:space="0" w:color="1F497D"/>
              <w:right w:val="double" w:sz="6" w:space="0" w:color="1F497D"/>
            </w:tcBorders>
            <w:shd w:val="clear" w:color="000000" w:fill="DCE6F1"/>
            <w:vAlign w:val="center"/>
            <w:hideMark/>
          </w:tcPr>
          <w:p w14:paraId="5797937F"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89</w:t>
            </w:r>
          </w:p>
        </w:tc>
        <w:tc>
          <w:tcPr>
            <w:tcW w:w="0" w:type="auto"/>
            <w:tcBorders>
              <w:top w:val="nil"/>
              <w:left w:val="nil"/>
              <w:bottom w:val="double" w:sz="6" w:space="0" w:color="1F497D"/>
              <w:right w:val="double" w:sz="6" w:space="0" w:color="1F497D"/>
            </w:tcBorders>
            <w:shd w:val="clear" w:color="000000" w:fill="DCE6F1"/>
            <w:vAlign w:val="center"/>
            <w:hideMark/>
          </w:tcPr>
          <w:p w14:paraId="6D024FF1"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12</w:t>
            </w:r>
          </w:p>
        </w:tc>
        <w:tc>
          <w:tcPr>
            <w:tcW w:w="0" w:type="auto"/>
            <w:tcBorders>
              <w:top w:val="nil"/>
              <w:left w:val="nil"/>
              <w:bottom w:val="double" w:sz="6" w:space="0" w:color="1F497D"/>
              <w:right w:val="double" w:sz="6" w:space="0" w:color="1F497D"/>
            </w:tcBorders>
            <w:shd w:val="clear" w:color="000000" w:fill="DCE6F1"/>
            <w:vAlign w:val="center"/>
            <w:hideMark/>
          </w:tcPr>
          <w:p w14:paraId="0CC1C478"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31</w:t>
            </w:r>
          </w:p>
        </w:tc>
        <w:tc>
          <w:tcPr>
            <w:tcW w:w="0" w:type="auto"/>
            <w:tcBorders>
              <w:top w:val="nil"/>
              <w:left w:val="nil"/>
              <w:bottom w:val="double" w:sz="6" w:space="0" w:color="1F497D"/>
              <w:right w:val="double" w:sz="6" w:space="0" w:color="1F497D"/>
            </w:tcBorders>
            <w:shd w:val="clear" w:color="000000" w:fill="DCE6F1"/>
            <w:vAlign w:val="center"/>
            <w:hideMark/>
          </w:tcPr>
          <w:p w14:paraId="009AE313"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204</w:t>
            </w:r>
          </w:p>
        </w:tc>
      </w:tr>
      <w:tr w:rsidR="000E325D" w:rsidRPr="003F353D" w14:paraId="5640B650" w14:textId="77777777" w:rsidTr="000E325D">
        <w:trPr>
          <w:trHeight w:val="31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6D832001" w14:textId="77777777" w:rsidR="000E325D" w:rsidRPr="00EB031E" w:rsidRDefault="000E325D" w:rsidP="000E325D">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Apelación por inadmisión</w:t>
            </w:r>
          </w:p>
        </w:tc>
        <w:tc>
          <w:tcPr>
            <w:tcW w:w="0" w:type="auto"/>
            <w:tcBorders>
              <w:top w:val="nil"/>
              <w:left w:val="nil"/>
              <w:bottom w:val="double" w:sz="6" w:space="0" w:color="1F497D"/>
              <w:right w:val="double" w:sz="6" w:space="0" w:color="1F497D"/>
            </w:tcBorders>
            <w:shd w:val="clear" w:color="auto" w:fill="auto"/>
            <w:vAlign w:val="center"/>
            <w:hideMark/>
          </w:tcPr>
          <w:p w14:paraId="5A6FC66A"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17</w:t>
            </w:r>
          </w:p>
        </w:tc>
        <w:tc>
          <w:tcPr>
            <w:tcW w:w="0" w:type="auto"/>
            <w:tcBorders>
              <w:top w:val="nil"/>
              <w:left w:val="nil"/>
              <w:bottom w:val="double" w:sz="6" w:space="0" w:color="1F497D"/>
              <w:right w:val="double" w:sz="6" w:space="0" w:color="1F497D"/>
            </w:tcBorders>
            <w:shd w:val="clear" w:color="auto" w:fill="auto"/>
            <w:vAlign w:val="center"/>
            <w:hideMark/>
          </w:tcPr>
          <w:p w14:paraId="0D1BBAAF"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34</w:t>
            </w:r>
          </w:p>
        </w:tc>
        <w:tc>
          <w:tcPr>
            <w:tcW w:w="0" w:type="auto"/>
            <w:tcBorders>
              <w:top w:val="nil"/>
              <w:left w:val="nil"/>
              <w:bottom w:val="double" w:sz="6" w:space="0" w:color="1F497D"/>
              <w:right w:val="double" w:sz="6" w:space="0" w:color="1F497D"/>
            </w:tcBorders>
            <w:shd w:val="clear" w:color="auto" w:fill="auto"/>
            <w:vAlign w:val="center"/>
            <w:hideMark/>
          </w:tcPr>
          <w:p w14:paraId="7BD58DCF"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34</w:t>
            </w:r>
          </w:p>
        </w:tc>
        <w:tc>
          <w:tcPr>
            <w:tcW w:w="0" w:type="auto"/>
            <w:tcBorders>
              <w:top w:val="nil"/>
              <w:left w:val="nil"/>
              <w:bottom w:val="double" w:sz="6" w:space="0" w:color="1F497D"/>
              <w:right w:val="double" w:sz="6" w:space="0" w:color="1F497D"/>
            </w:tcBorders>
            <w:shd w:val="clear" w:color="auto" w:fill="auto"/>
            <w:vAlign w:val="center"/>
            <w:hideMark/>
          </w:tcPr>
          <w:p w14:paraId="4AAE2DEB"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1724639F"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13</w:t>
            </w:r>
          </w:p>
        </w:tc>
        <w:tc>
          <w:tcPr>
            <w:tcW w:w="0" w:type="auto"/>
            <w:tcBorders>
              <w:top w:val="nil"/>
              <w:left w:val="nil"/>
              <w:bottom w:val="double" w:sz="6" w:space="0" w:color="1F497D"/>
              <w:right w:val="double" w:sz="6" w:space="0" w:color="1F497D"/>
            </w:tcBorders>
            <w:shd w:val="clear" w:color="auto" w:fill="auto"/>
            <w:vAlign w:val="center"/>
            <w:hideMark/>
          </w:tcPr>
          <w:p w14:paraId="6A0E76AB"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10</w:t>
            </w:r>
          </w:p>
        </w:tc>
        <w:tc>
          <w:tcPr>
            <w:tcW w:w="0" w:type="auto"/>
            <w:tcBorders>
              <w:top w:val="nil"/>
              <w:left w:val="nil"/>
              <w:bottom w:val="double" w:sz="6" w:space="0" w:color="1F497D"/>
              <w:right w:val="double" w:sz="6" w:space="0" w:color="1F497D"/>
            </w:tcBorders>
            <w:shd w:val="clear" w:color="auto" w:fill="auto"/>
            <w:vAlign w:val="center"/>
            <w:hideMark/>
          </w:tcPr>
          <w:p w14:paraId="47EB68E5"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9</w:t>
            </w:r>
          </w:p>
        </w:tc>
        <w:tc>
          <w:tcPr>
            <w:tcW w:w="0" w:type="auto"/>
            <w:tcBorders>
              <w:top w:val="nil"/>
              <w:left w:val="nil"/>
              <w:bottom w:val="double" w:sz="6" w:space="0" w:color="1F497D"/>
              <w:right w:val="double" w:sz="6" w:space="0" w:color="1F497D"/>
            </w:tcBorders>
            <w:shd w:val="clear" w:color="auto" w:fill="auto"/>
            <w:vAlign w:val="center"/>
            <w:hideMark/>
          </w:tcPr>
          <w:p w14:paraId="2D23ECD0"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117</w:t>
            </w:r>
          </w:p>
        </w:tc>
      </w:tr>
      <w:tr w:rsidR="00EB031E" w:rsidRPr="003F353D" w14:paraId="49A63128" w14:textId="77777777" w:rsidTr="00EB031E">
        <w:trPr>
          <w:trHeight w:val="310"/>
        </w:trPr>
        <w:tc>
          <w:tcPr>
            <w:tcW w:w="0" w:type="auto"/>
            <w:tcBorders>
              <w:top w:val="nil"/>
              <w:left w:val="double" w:sz="6" w:space="0" w:color="1F497D"/>
              <w:bottom w:val="double" w:sz="6" w:space="0" w:color="1F497D"/>
              <w:right w:val="double" w:sz="6" w:space="0" w:color="1F497D"/>
            </w:tcBorders>
            <w:shd w:val="clear" w:color="000000" w:fill="DCE6F1"/>
            <w:vAlign w:val="center"/>
            <w:hideMark/>
          </w:tcPr>
          <w:p w14:paraId="0B9EF13C" w14:textId="77777777" w:rsidR="000E325D" w:rsidRPr="00EB031E" w:rsidRDefault="000E325D" w:rsidP="000E325D">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Ejecución prendaria</w:t>
            </w:r>
          </w:p>
        </w:tc>
        <w:tc>
          <w:tcPr>
            <w:tcW w:w="0" w:type="auto"/>
            <w:tcBorders>
              <w:top w:val="nil"/>
              <w:left w:val="nil"/>
              <w:bottom w:val="double" w:sz="6" w:space="0" w:color="1F497D"/>
              <w:right w:val="double" w:sz="6" w:space="0" w:color="1F497D"/>
            </w:tcBorders>
            <w:shd w:val="clear" w:color="000000" w:fill="DCE6F1"/>
            <w:vAlign w:val="center"/>
            <w:hideMark/>
          </w:tcPr>
          <w:p w14:paraId="6B9939ED"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10</w:t>
            </w:r>
          </w:p>
        </w:tc>
        <w:tc>
          <w:tcPr>
            <w:tcW w:w="0" w:type="auto"/>
            <w:tcBorders>
              <w:top w:val="nil"/>
              <w:left w:val="nil"/>
              <w:bottom w:val="double" w:sz="6" w:space="0" w:color="1F497D"/>
              <w:right w:val="double" w:sz="6" w:space="0" w:color="1F497D"/>
            </w:tcBorders>
            <w:shd w:val="clear" w:color="000000" w:fill="DCE6F1"/>
            <w:vAlign w:val="center"/>
            <w:hideMark/>
          </w:tcPr>
          <w:p w14:paraId="70501C9A"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38</w:t>
            </w:r>
          </w:p>
        </w:tc>
        <w:tc>
          <w:tcPr>
            <w:tcW w:w="0" w:type="auto"/>
            <w:tcBorders>
              <w:top w:val="nil"/>
              <w:left w:val="nil"/>
              <w:bottom w:val="double" w:sz="6" w:space="0" w:color="1F497D"/>
              <w:right w:val="double" w:sz="6" w:space="0" w:color="1F497D"/>
            </w:tcBorders>
            <w:shd w:val="clear" w:color="000000" w:fill="DCE6F1"/>
            <w:vAlign w:val="center"/>
            <w:hideMark/>
          </w:tcPr>
          <w:p w14:paraId="4C66222D"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29</w:t>
            </w:r>
          </w:p>
        </w:tc>
        <w:tc>
          <w:tcPr>
            <w:tcW w:w="0" w:type="auto"/>
            <w:tcBorders>
              <w:top w:val="nil"/>
              <w:left w:val="nil"/>
              <w:bottom w:val="double" w:sz="6" w:space="0" w:color="1F497D"/>
              <w:right w:val="double" w:sz="6" w:space="0" w:color="1F497D"/>
            </w:tcBorders>
            <w:shd w:val="clear" w:color="000000" w:fill="DCE6F1"/>
            <w:vAlign w:val="center"/>
            <w:hideMark/>
          </w:tcPr>
          <w:p w14:paraId="0539F749"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13</w:t>
            </w:r>
          </w:p>
        </w:tc>
        <w:tc>
          <w:tcPr>
            <w:tcW w:w="0" w:type="auto"/>
            <w:tcBorders>
              <w:top w:val="nil"/>
              <w:left w:val="nil"/>
              <w:bottom w:val="double" w:sz="6" w:space="0" w:color="1F497D"/>
              <w:right w:val="double" w:sz="6" w:space="0" w:color="1F497D"/>
            </w:tcBorders>
            <w:shd w:val="clear" w:color="000000" w:fill="DCE6F1"/>
            <w:vAlign w:val="center"/>
            <w:hideMark/>
          </w:tcPr>
          <w:p w14:paraId="1BD06451"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8</w:t>
            </w:r>
          </w:p>
        </w:tc>
        <w:tc>
          <w:tcPr>
            <w:tcW w:w="0" w:type="auto"/>
            <w:tcBorders>
              <w:top w:val="nil"/>
              <w:left w:val="nil"/>
              <w:bottom w:val="double" w:sz="6" w:space="0" w:color="1F497D"/>
              <w:right w:val="double" w:sz="6" w:space="0" w:color="1F497D"/>
            </w:tcBorders>
            <w:shd w:val="clear" w:color="000000" w:fill="DCE6F1"/>
            <w:vAlign w:val="center"/>
            <w:hideMark/>
          </w:tcPr>
          <w:p w14:paraId="24A54521"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w:t>
            </w:r>
          </w:p>
        </w:tc>
        <w:tc>
          <w:tcPr>
            <w:tcW w:w="0" w:type="auto"/>
            <w:tcBorders>
              <w:top w:val="nil"/>
              <w:left w:val="nil"/>
              <w:bottom w:val="double" w:sz="6" w:space="0" w:color="1F497D"/>
              <w:right w:val="double" w:sz="6" w:space="0" w:color="1F497D"/>
            </w:tcBorders>
            <w:shd w:val="clear" w:color="000000" w:fill="DCE6F1"/>
            <w:vAlign w:val="center"/>
            <w:hideMark/>
          </w:tcPr>
          <w:p w14:paraId="7359C453"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7</w:t>
            </w:r>
          </w:p>
        </w:tc>
        <w:tc>
          <w:tcPr>
            <w:tcW w:w="0" w:type="auto"/>
            <w:tcBorders>
              <w:top w:val="nil"/>
              <w:left w:val="nil"/>
              <w:bottom w:val="double" w:sz="6" w:space="0" w:color="1F497D"/>
              <w:right w:val="double" w:sz="6" w:space="0" w:color="1F497D"/>
            </w:tcBorders>
            <w:shd w:val="clear" w:color="000000" w:fill="DCE6F1"/>
            <w:vAlign w:val="center"/>
            <w:hideMark/>
          </w:tcPr>
          <w:p w14:paraId="55CD8CFA"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110</w:t>
            </w:r>
          </w:p>
        </w:tc>
      </w:tr>
      <w:tr w:rsidR="00EB031E" w:rsidRPr="003F353D" w14:paraId="5ED29242" w14:textId="77777777" w:rsidTr="00EB031E">
        <w:trPr>
          <w:trHeight w:val="310"/>
        </w:trPr>
        <w:tc>
          <w:tcPr>
            <w:tcW w:w="0" w:type="auto"/>
            <w:tcBorders>
              <w:top w:val="nil"/>
              <w:left w:val="double" w:sz="6" w:space="0" w:color="1F497D"/>
              <w:bottom w:val="double" w:sz="6" w:space="0" w:color="1F497D"/>
              <w:right w:val="double" w:sz="6" w:space="0" w:color="1F497D"/>
            </w:tcBorders>
            <w:shd w:val="clear" w:color="000000" w:fill="DCE6F1"/>
            <w:vAlign w:val="center"/>
            <w:hideMark/>
          </w:tcPr>
          <w:p w14:paraId="07B89950" w14:textId="77777777" w:rsidR="000E325D" w:rsidRPr="00EB031E" w:rsidRDefault="000E325D" w:rsidP="000E325D">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Abreviados</w:t>
            </w:r>
          </w:p>
        </w:tc>
        <w:tc>
          <w:tcPr>
            <w:tcW w:w="0" w:type="auto"/>
            <w:tcBorders>
              <w:top w:val="nil"/>
              <w:left w:val="nil"/>
              <w:bottom w:val="double" w:sz="6" w:space="0" w:color="1F497D"/>
              <w:right w:val="double" w:sz="6" w:space="0" w:color="1F497D"/>
            </w:tcBorders>
            <w:shd w:val="clear" w:color="000000" w:fill="DCE6F1"/>
            <w:vAlign w:val="center"/>
            <w:hideMark/>
          </w:tcPr>
          <w:p w14:paraId="4FDE3401"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w:t>
            </w:r>
          </w:p>
        </w:tc>
        <w:tc>
          <w:tcPr>
            <w:tcW w:w="0" w:type="auto"/>
            <w:tcBorders>
              <w:top w:val="nil"/>
              <w:left w:val="nil"/>
              <w:bottom w:val="double" w:sz="6" w:space="0" w:color="1F497D"/>
              <w:right w:val="double" w:sz="6" w:space="0" w:color="1F497D"/>
            </w:tcBorders>
            <w:shd w:val="clear" w:color="000000" w:fill="DCE6F1"/>
            <w:vAlign w:val="center"/>
            <w:hideMark/>
          </w:tcPr>
          <w:p w14:paraId="1A7DEF12"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w:t>
            </w:r>
          </w:p>
        </w:tc>
        <w:tc>
          <w:tcPr>
            <w:tcW w:w="0" w:type="auto"/>
            <w:tcBorders>
              <w:top w:val="nil"/>
              <w:left w:val="nil"/>
              <w:bottom w:val="double" w:sz="6" w:space="0" w:color="1F497D"/>
              <w:right w:val="double" w:sz="6" w:space="0" w:color="1F497D"/>
            </w:tcBorders>
            <w:shd w:val="clear" w:color="000000" w:fill="DCE6F1"/>
            <w:vAlign w:val="center"/>
            <w:hideMark/>
          </w:tcPr>
          <w:p w14:paraId="6C493DCF"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13</w:t>
            </w:r>
          </w:p>
        </w:tc>
        <w:tc>
          <w:tcPr>
            <w:tcW w:w="0" w:type="auto"/>
            <w:tcBorders>
              <w:top w:val="nil"/>
              <w:left w:val="nil"/>
              <w:bottom w:val="double" w:sz="6" w:space="0" w:color="1F497D"/>
              <w:right w:val="double" w:sz="6" w:space="0" w:color="1F497D"/>
            </w:tcBorders>
            <w:shd w:val="clear" w:color="000000" w:fill="DCE6F1"/>
            <w:vAlign w:val="center"/>
            <w:hideMark/>
          </w:tcPr>
          <w:p w14:paraId="50D517D9"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w:t>
            </w:r>
          </w:p>
        </w:tc>
        <w:tc>
          <w:tcPr>
            <w:tcW w:w="0" w:type="auto"/>
            <w:tcBorders>
              <w:top w:val="nil"/>
              <w:left w:val="nil"/>
              <w:bottom w:val="double" w:sz="6" w:space="0" w:color="1F497D"/>
              <w:right w:val="double" w:sz="6" w:space="0" w:color="1F497D"/>
            </w:tcBorders>
            <w:shd w:val="clear" w:color="000000" w:fill="DCE6F1"/>
            <w:vAlign w:val="center"/>
            <w:hideMark/>
          </w:tcPr>
          <w:p w14:paraId="1A00BE2B"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7</w:t>
            </w:r>
          </w:p>
        </w:tc>
        <w:tc>
          <w:tcPr>
            <w:tcW w:w="0" w:type="auto"/>
            <w:tcBorders>
              <w:top w:val="nil"/>
              <w:left w:val="nil"/>
              <w:bottom w:val="double" w:sz="6" w:space="0" w:color="1F497D"/>
              <w:right w:val="double" w:sz="6" w:space="0" w:color="1F497D"/>
            </w:tcBorders>
            <w:shd w:val="clear" w:color="000000" w:fill="DCE6F1"/>
            <w:vAlign w:val="center"/>
            <w:hideMark/>
          </w:tcPr>
          <w:p w14:paraId="298C4566"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w:t>
            </w:r>
          </w:p>
        </w:tc>
        <w:tc>
          <w:tcPr>
            <w:tcW w:w="0" w:type="auto"/>
            <w:tcBorders>
              <w:top w:val="nil"/>
              <w:left w:val="nil"/>
              <w:bottom w:val="double" w:sz="6" w:space="0" w:color="1F497D"/>
              <w:right w:val="double" w:sz="6" w:space="0" w:color="1F497D"/>
            </w:tcBorders>
            <w:shd w:val="clear" w:color="000000" w:fill="DCE6F1"/>
            <w:vAlign w:val="center"/>
            <w:hideMark/>
          </w:tcPr>
          <w:p w14:paraId="054F225D"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w:t>
            </w:r>
          </w:p>
        </w:tc>
        <w:tc>
          <w:tcPr>
            <w:tcW w:w="0" w:type="auto"/>
            <w:tcBorders>
              <w:top w:val="nil"/>
              <w:left w:val="nil"/>
              <w:bottom w:val="double" w:sz="6" w:space="0" w:color="1F497D"/>
              <w:right w:val="double" w:sz="6" w:space="0" w:color="1F497D"/>
            </w:tcBorders>
            <w:shd w:val="clear" w:color="000000" w:fill="DCE6F1"/>
            <w:vAlign w:val="center"/>
            <w:hideMark/>
          </w:tcPr>
          <w:p w14:paraId="47E60820"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37</w:t>
            </w:r>
          </w:p>
        </w:tc>
      </w:tr>
      <w:tr w:rsidR="000E325D" w:rsidRPr="003F353D" w14:paraId="070734C8" w14:textId="77777777" w:rsidTr="000E325D">
        <w:trPr>
          <w:trHeight w:val="310"/>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4F41D7A0" w14:textId="77777777" w:rsidR="000E325D" w:rsidRPr="00EB031E" w:rsidRDefault="000E325D" w:rsidP="000E325D">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Ejecución simple</w:t>
            </w:r>
          </w:p>
        </w:tc>
        <w:tc>
          <w:tcPr>
            <w:tcW w:w="0" w:type="auto"/>
            <w:tcBorders>
              <w:top w:val="nil"/>
              <w:left w:val="nil"/>
              <w:bottom w:val="double" w:sz="6" w:space="0" w:color="1F497D"/>
              <w:right w:val="double" w:sz="6" w:space="0" w:color="1F497D"/>
            </w:tcBorders>
            <w:shd w:val="clear" w:color="auto" w:fill="auto"/>
            <w:vAlign w:val="center"/>
            <w:hideMark/>
          </w:tcPr>
          <w:p w14:paraId="2BF9F350"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2EF803E7"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7BBA8576"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3D9F0A2F"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13</w:t>
            </w:r>
          </w:p>
        </w:tc>
        <w:tc>
          <w:tcPr>
            <w:tcW w:w="0" w:type="auto"/>
            <w:tcBorders>
              <w:top w:val="nil"/>
              <w:left w:val="nil"/>
              <w:bottom w:val="double" w:sz="6" w:space="0" w:color="1F497D"/>
              <w:right w:val="double" w:sz="6" w:space="0" w:color="1F497D"/>
            </w:tcBorders>
            <w:shd w:val="clear" w:color="auto" w:fill="auto"/>
            <w:vAlign w:val="center"/>
            <w:hideMark/>
          </w:tcPr>
          <w:p w14:paraId="195692E8"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294E7BFD"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42F76B1B"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0</w:t>
            </w:r>
          </w:p>
        </w:tc>
        <w:tc>
          <w:tcPr>
            <w:tcW w:w="0" w:type="auto"/>
            <w:tcBorders>
              <w:top w:val="nil"/>
              <w:left w:val="nil"/>
              <w:bottom w:val="double" w:sz="6" w:space="0" w:color="1F497D"/>
              <w:right w:val="double" w:sz="6" w:space="0" w:color="1F497D"/>
            </w:tcBorders>
            <w:shd w:val="clear" w:color="auto" w:fill="auto"/>
            <w:vAlign w:val="center"/>
            <w:hideMark/>
          </w:tcPr>
          <w:p w14:paraId="28D4CE9D" w14:textId="77777777" w:rsidR="000E325D" w:rsidRPr="00EB031E" w:rsidRDefault="000E325D" w:rsidP="000E325D">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13</w:t>
            </w:r>
          </w:p>
        </w:tc>
      </w:tr>
      <w:tr w:rsidR="003F353D" w:rsidRPr="003F353D" w14:paraId="521093ED" w14:textId="77777777" w:rsidTr="006A56B4">
        <w:trPr>
          <w:trHeight w:val="310"/>
        </w:trPr>
        <w:tc>
          <w:tcPr>
            <w:tcW w:w="0" w:type="auto"/>
            <w:tcBorders>
              <w:top w:val="nil"/>
              <w:left w:val="double" w:sz="6" w:space="0" w:color="1F497D"/>
              <w:bottom w:val="double" w:sz="6" w:space="0" w:color="1F497D"/>
              <w:right w:val="double" w:sz="6" w:space="0" w:color="1F497D"/>
            </w:tcBorders>
            <w:shd w:val="clear" w:color="auto" w:fill="365F91" w:themeFill="accent1" w:themeFillShade="BF"/>
            <w:vAlign w:val="center"/>
            <w:hideMark/>
          </w:tcPr>
          <w:p w14:paraId="3A8084AB" w14:textId="77777777" w:rsidR="000E325D" w:rsidRPr="00EB031E" w:rsidRDefault="000E325D" w:rsidP="00EB031E">
            <w:pPr>
              <w:spacing w:after="0" w:line="240" w:lineRule="auto"/>
              <w:jc w:val="center"/>
              <w:rPr>
                <w:rFonts w:ascii="Book Antiqua" w:eastAsia="Times New Roman" w:hAnsi="Book Antiqua" w:cs="Calibri"/>
                <w:b/>
                <w:bCs/>
                <w:color w:val="FFFFFF" w:themeColor="background1"/>
                <w:sz w:val="18"/>
                <w:szCs w:val="18"/>
                <w:lang w:eastAsia="es-CR"/>
              </w:rPr>
            </w:pPr>
            <w:r w:rsidRPr="00EB031E">
              <w:rPr>
                <w:rFonts w:ascii="Book Antiqua" w:eastAsia="Times New Roman" w:hAnsi="Book Antiqua" w:cs="Calibri"/>
                <w:b/>
                <w:bCs/>
                <w:color w:val="FFFFFF" w:themeColor="background1"/>
                <w:sz w:val="18"/>
                <w:szCs w:val="18"/>
                <w:lang w:eastAsia="es-CR"/>
              </w:rPr>
              <w:t>Total</w:t>
            </w:r>
          </w:p>
        </w:tc>
        <w:tc>
          <w:tcPr>
            <w:tcW w:w="0" w:type="auto"/>
            <w:tcBorders>
              <w:top w:val="nil"/>
              <w:left w:val="nil"/>
              <w:bottom w:val="double" w:sz="6" w:space="0" w:color="1F497D"/>
              <w:right w:val="double" w:sz="6" w:space="0" w:color="1F497D"/>
            </w:tcBorders>
            <w:shd w:val="clear" w:color="auto" w:fill="365F91" w:themeFill="accent1" w:themeFillShade="BF"/>
            <w:vAlign w:val="center"/>
            <w:hideMark/>
          </w:tcPr>
          <w:p w14:paraId="6F6E6DCF" w14:textId="77777777" w:rsidR="000E325D" w:rsidRPr="00EB031E" w:rsidRDefault="000E325D" w:rsidP="000E325D">
            <w:pPr>
              <w:spacing w:after="0" w:line="240" w:lineRule="auto"/>
              <w:jc w:val="center"/>
              <w:rPr>
                <w:rFonts w:ascii="Book Antiqua" w:eastAsia="Times New Roman" w:hAnsi="Book Antiqua" w:cs="Calibri"/>
                <w:color w:val="FFFFFF" w:themeColor="background1"/>
                <w:sz w:val="18"/>
                <w:szCs w:val="18"/>
                <w:lang w:eastAsia="es-CR"/>
              </w:rPr>
            </w:pPr>
            <w:r w:rsidRPr="00EB031E">
              <w:rPr>
                <w:rFonts w:ascii="Book Antiqua" w:eastAsia="Times New Roman" w:hAnsi="Book Antiqua" w:cs="Calibri"/>
                <w:color w:val="FFFFFF" w:themeColor="background1"/>
                <w:sz w:val="18"/>
                <w:szCs w:val="18"/>
                <w:lang w:eastAsia="es-CR"/>
              </w:rPr>
              <w:t>1391</w:t>
            </w:r>
          </w:p>
        </w:tc>
        <w:tc>
          <w:tcPr>
            <w:tcW w:w="0" w:type="auto"/>
            <w:tcBorders>
              <w:top w:val="nil"/>
              <w:left w:val="nil"/>
              <w:bottom w:val="double" w:sz="6" w:space="0" w:color="1F497D"/>
              <w:right w:val="double" w:sz="6" w:space="0" w:color="1F497D"/>
            </w:tcBorders>
            <w:shd w:val="clear" w:color="auto" w:fill="365F91" w:themeFill="accent1" w:themeFillShade="BF"/>
            <w:vAlign w:val="center"/>
            <w:hideMark/>
          </w:tcPr>
          <w:p w14:paraId="7A77884B" w14:textId="77777777" w:rsidR="000E325D" w:rsidRPr="00EB031E" w:rsidRDefault="000E325D" w:rsidP="000E325D">
            <w:pPr>
              <w:spacing w:after="0" w:line="240" w:lineRule="auto"/>
              <w:jc w:val="center"/>
              <w:rPr>
                <w:rFonts w:ascii="Book Antiqua" w:eastAsia="Times New Roman" w:hAnsi="Book Antiqua" w:cs="Calibri"/>
                <w:color w:val="FFFFFF" w:themeColor="background1"/>
                <w:sz w:val="18"/>
                <w:szCs w:val="18"/>
                <w:lang w:eastAsia="es-CR"/>
              </w:rPr>
            </w:pPr>
            <w:r w:rsidRPr="00EB031E">
              <w:rPr>
                <w:rFonts w:ascii="Book Antiqua" w:eastAsia="Times New Roman" w:hAnsi="Book Antiqua" w:cs="Calibri"/>
                <w:color w:val="FFFFFF" w:themeColor="background1"/>
                <w:sz w:val="18"/>
                <w:szCs w:val="18"/>
                <w:lang w:eastAsia="es-CR"/>
              </w:rPr>
              <w:t>3707</w:t>
            </w:r>
          </w:p>
        </w:tc>
        <w:tc>
          <w:tcPr>
            <w:tcW w:w="0" w:type="auto"/>
            <w:tcBorders>
              <w:top w:val="nil"/>
              <w:left w:val="nil"/>
              <w:bottom w:val="double" w:sz="6" w:space="0" w:color="1F497D"/>
              <w:right w:val="double" w:sz="6" w:space="0" w:color="1F497D"/>
            </w:tcBorders>
            <w:shd w:val="clear" w:color="auto" w:fill="365F91" w:themeFill="accent1" w:themeFillShade="BF"/>
            <w:vAlign w:val="center"/>
            <w:hideMark/>
          </w:tcPr>
          <w:p w14:paraId="56B4AD3D" w14:textId="77777777" w:rsidR="000E325D" w:rsidRPr="00EB031E" w:rsidRDefault="000E325D" w:rsidP="000E325D">
            <w:pPr>
              <w:spacing w:after="0" w:line="240" w:lineRule="auto"/>
              <w:jc w:val="center"/>
              <w:rPr>
                <w:rFonts w:ascii="Book Antiqua" w:eastAsia="Times New Roman" w:hAnsi="Book Antiqua" w:cs="Calibri"/>
                <w:color w:val="FFFFFF" w:themeColor="background1"/>
                <w:sz w:val="18"/>
                <w:szCs w:val="18"/>
                <w:lang w:eastAsia="es-CR"/>
              </w:rPr>
            </w:pPr>
            <w:r w:rsidRPr="00EB031E">
              <w:rPr>
                <w:rFonts w:ascii="Book Antiqua" w:eastAsia="Times New Roman" w:hAnsi="Book Antiqua" w:cs="Calibri"/>
                <w:color w:val="FFFFFF" w:themeColor="background1"/>
                <w:sz w:val="18"/>
                <w:szCs w:val="18"/>
                <w:lang w:eastAsia="es-CR"/>
              </w:rPr>
              <w:t>1218</w:t>
            </w:r>
          </w:p>
        </w:tc>
        <w:tc>
          <w:tcPr>
            <w:tcW w:w="0" w:type="auto"/>
            <w:tcBorders>
              <w:top w:val="nil"/>
              <w:left w:val="nil"/>
              <w:bottom w:val="double" w:sz="6" w:space="0" w:color="1F497D"/>
              <w:right w:val="double" w:sz="6" w:space="0" w:color="1F497D"/>
            </w:tcBorders>
            <w:shd w:val="clear" w:color="auto" w:fill="365F91" w:themeFill="accent1" w:themeFillShade="BF"/>
            <w:vAlign w:val="center"/>
            <w:hideMark/>
          </w:tcPr>
          <w:p w14:paraId="6C66F112" w14:textId="77777777" w:rsidR="000E325D" w:rsidRPr="00EB031E" w:rsidRDefault="000E325D" w:rsidP="000E325D">
            <w:pPr>
              <w:spacing w:after="0" w:line="240" w:lineRule="auto"/>
              <w:jc w:val="center"/>
              <w:rPr>
                <w:rFonts w:ascii="Book Antiqua" w:eastAsia="Times New Roman" w:hAnsi="Book Antiqua" w:cs="Calibri"/>
                <w:color w:val="FFFFFF" w:themeColor="background1"/>
                <w:sz w:val="18"/>
                <w:szCs w:val="18"/>
                <w:lang w:eastAsia="es-CR"/>
              </w:rPr>
            </w:pPr>
            <w:r w:rsidRPr="00EB031E">
              <w:rPr>
                <w:rFonts w:ascii="Book Antiqua" w:eastAsia="Times New Roman" w:hAnsi="Book Antiqua" w:cs="Calibri"/>
                <w:color w:val="FFFFFF" w:themeColor="background1"/>
                <w:sz w:val="18"/>
                <w:szCs w:val="18"/>
                <w:lang w:eastAsia="es-CR"/>
              </w:rPr>
              <w:t>1534</w:t>
            </w:r>
          </w:p>
        </w:tc>
        <w:tc>
          <w:tcPr>
            <w:tcW w:w="0" w:type="auto"/>
            <w:tcBorders>
              <w:top w:val="nil"/>
              <w:left w:val="nil"/>
              <w:bottom w:val="double" w:sz="6" w:space="0" w:color="1F497D"/>
              <w:right w:val="double" w:sz="6" w:space="0" w:color="1F497D"/>
            </w:tcBorders>
            <w:shd w:val="clear" w:color="auto" w:fill="365F91" w:themeFill="accent1" w:themeFillShade="BF"/>
            <w:vAlign w:val="center"/>
            <w:hideMark/>
          </w:tcPr>
          <w:p w14:paraId="443B3FAB" w14:textId="77777777" w:rsidR="000E325D" w:rsidRPr="00EB031E" w:rsidRDefault="000E325D" w:rsidP="000E325D">
            <w:pPr>
              <w:spacing w:after="0" w:line="240" w:lineRule="auto"/>
              <w:jc w:val="center"/>
              <w:rPr>
                <w:rFonts w:ascii="Book Antiqua" w:eastAsia="Times New Roman" w:hAnsi="Book Antiqua" w:cs="Calibri"/>
                <w:color w:val="FFFFFF" w:themeColor="background1"/>
                <w:sz w:val="18"/>
                <w:szCs w:val="18"/>
                <w:lang w:eastAsia="es-CR"/>
              </w:rPr>
            </w:pPr>
            <w:r w:rsidRPr="00EB031E">
              <w:rPr>
                <w:rFonts w:ascii="Book Antiqua" w:eastAsia="Times New Roman" w:hAnsi="Book Antiqua" w:cs="Calibri"/>
                <w:color w:val="FFFFFF" w:themeColor="background1"/>
                <w:sz w:val="18"/>
                <w:szCs w:val="18"/>
                <w:lang w:eastAsia="es-CR"/>
              </w:rPr>
              <w:t>1018</w:t>
            </w:r>
          </w:p>
        </w:tc>
        <w:tc>
          <w:tcPr>
            <w:tcW w:w="0" w:type="auto"/>
            <w:tcBorders>
              <w:top w:val="nil"/>
              <w:left w:val="nil"/>
              <w:bottom w:val="double" w:sz="6" w:space="0" w:color="1F497D"/>
              <w:right w:val="double" w:sz="6" w:space="0" w:color="1F497D"/>
            </w:tcBorders>
            <w:shd w:val="clear" w:color="auto" w:fill="365F91" w:themeFill="accent1" w:themeFillShade="BF"/>
            <w:vAlign w:val="center"/>
            <w:hideMark/>
          </w:tcPr>
          <w:p w14:paraId="30064DFA" w14:textId="77777777" w:rsidR="000E325D" w:rsidRPr="00EB031E" w:rsidRDefault="000E325D" w:rsidP="000E325D">
            <w:pPr>
              <w:spacing w:after="0" w:line="240" w:lineRule="auto"/>
              <w:jc w:val="center"/>
              <w:rPr>
                <w:rFonts w:ascii="Book Antiqua" w:eastAsia="Times New Roman" w:hAnsi="Book Antiqua" w:cs="Calibri"/>
                <w:color w:val="FFFFFF" w:themeColor="background1"/>
                <w:sz w:val="18"/>
                <w:szCs w:val="18"/>
                <w:lang w:eastAsia="es-CR"/>
              </w:rPr>
            </w:pPr>
            <w:r w:rsidRPr="00EB031E">
              <w:rPr>
                <w:rFonts w:ascii="Book Antiqua" w:eastAsia="Times New Roman" w:hAnsi="Book Antiqua" w:cs="Calibri"/>
                <w:color w:val="FFFFFF" w:themeColor="background1"/>
                <w:sz w:val="18"/>
                <w:szCs w:val="18"/>
                <w:lang w:eastAsia="es-CR"/>
              </w:rPr>
              <w:t>852</w:t>
            </w:r>
          </w:p>
        </w:tc>
        <w:tc>
          <w:tcPr>
            <w:tcW w:w="0" w:type="auto"/>
            <w:tcBorders>
              <w:top w:val="nil"/>
              <w:left w:val="nil"/>
              <w:bottom w:val="double" w:sz="6" w:space="0" w:color="1F497D"/>
              <w:right w:val="double" w:sz="6" w:space="0" w:color="1F497D"/>
            </w:tcBorders>
            <w:shd w:val="clear" w:color="auto" w:fill="365F91" w:themeFill="accent1" w:themeFillShade="BF"/>
            <w:vAlign w:val="center"/>
            <w:hideMark/>
          </w:tcPr>
          <w:p w14:paraId="7CEA34E7" w14:textId="77777777" w:rsidR="000E325D" w:rsidRPr="00EB031E" w:rsidRDefault="000E325D" w:rsidP="000E325D">
            <w:pPr>
              <w:spacing w:after="0" w:line="240" w:lineRule="auto"/>
              <w:jc w:val="center"/>
              <w:rPr>
                <w:rFonts w:ascii="Book Antiqua" w:eastAsia="Times New Roman" w:hAnsi="Book Antiqua" w:cs="Calibri"/>
                <w:color w:val="FFFFFF" w:themeColor="background1"/>
                <w:sz w:val="18"/>
                <w:szCs w:val="18"/>
                <w:lang w:eastAsia="es-CR"/>
              </w:rPr>
            </w:pPr>
            <w:r w:rsidRPr="00EB031E">
              <w:rPr>
                <w:rFonts w:ascii="Book Antiqua" w:eastAsia="Times New Roman" w:hAnsi="Book Antiqua" w:cs="Calibri"/>
                <w:color w:val="FFFFFF" w:themeColor="background1"/>
                <w:sz w:val="18"/>
                <w:szCs w:val="18"/>
                <w:lang w:eastAsia="es-CR"/>
              </w:rPr>
              <w:t>917</w:t>
            </w:r>
          </w:p>
        </w:tc>
        <w:tc>
          <w:tcPr>
            <w:tcW w:w="0" w:type="auto"/>
            <w:tcBorders>
              <w:top w:val="nil"/>
              <w:left w:val="nil"/>
              <w:bottom w:val="double" w:sz="6" w:space="0" w:color="1F497D"/>
              <w:right w:val="double" w:sz="6" w:space="0" w:color="1F497D"/>
            </w:tcBorders>
            <w:shd w:val="clear" w:color="auto" w:fill="365F91" w:themeFill="accent1" w:themeFillShade="BF"/>
            <w:vAlign w:val="center"/>
            <w:hideMark/>
          </w:tcPr>
          <w:p w14:paraId="3FFC6DE4" w14:textId="77777777" w:rsidR="000E325D" w:rsidRPr="00EB031E" w:rsidRDefault="000E325D" w:rsidP="000E325D">
            <w:pPr>
              <w:spacing w:after="0" w:line="240" w:lineRule="auto"/>
              <w:jc w:val="center"/>
              <w:rPr>
                <w:rFonts w:ascii="Book Antiqua" w:eastAsia="Times New Roman" w:hAnsi="Book Antiqua" w:cs="Calibri"/>
                <w:color w:val="FFFFFF" w:themeColor="background1"/>
                <w:sz w:val="18"/>
                <w:szCs w:val="18"/>
                <w:lang w:eastAsia="es-CR"/>
              </w:rPr>
            </w:pPr>
            <w:r w:rsidRPr="00EB031E">
              <w:rPr>
                <w:rFonts w:ascii="Book Antiqua" w:eastAsia="Times New Roman" w:hAnsi="Book Antiqua" w:cs="Calibri"/>
                <w:color w:val="FFFFFF" w:themeColor="background1"/>
                <w:sz w:val="18"/>
                <w:szCs w:val="18"/>
                <w:lang w:eastAsia="es-CR"/>
              </w:rPr>
              <w:t>10637</w:t>
            </w:r>
          </w:p>
        </w:tc>
      </w:tr>
    </w:tbl>
    <w:p w14:paraId="0B2A8FC9" w14:textId="2B18BA29" w:rsidR="00DD27E0" w:rsidRDefault="00355934" w:rsidP="00B854E6">
      <w:pPr>
        <w:spacing w:line="276" w:lineRule="auto"/>
        <w:jc w:val="both"/>
        <w:rPr>
          <w:rFonts w:ascii="Book Antiqua" w:hAnsi="Book Antiqua"/>
        </w:rPr>
      </w:pPr>
      <w:r w:rsidRPr="00410ED4">
        <w:rPr>
          <w:rFonts w:ascii="Book Antiqua" w:hAnsi="Book Antiqua"/>
          <w:b/>
          <w:i/>
          <w:sz w:val="20"/>
        </w:rPr>
        <w:t xml:space="preserve">Fuente: </w:t>
      </w:r>
      <w:r w:rsidRPr="00EB031E">
        <w:rPr>
          <w:rFonts w:ascii="Book Antiqua" w:hAnsi="Book Antiqua"/>
          <w:bCs/>
          <w:i/>
          <w:sz w:val="20"/>
        </w:rPr>
        <w:t>Anuario Estadístico Judicial 2018</w:t>
      </w:r>
      <w:r w:rsidR="00C14761" w:rsidRPr="00EB031E">
        <w:rPr>
          <w:rFonts w:ascii="Book Antiqua" w:hAnsi="Book Antiqua"/>
          <w:bCs/>
          <w:i/>
          <w:sz w:val="20"/>
        </w:rPr>
        <w:t>,</w:t>
      </w:r>
      <w:r w:rsidR="00790136" w:rsidRPr="00EB031E">
        <w:rPr>
          <w:rFonts w:ascii="Book Antiqua" w:hAnsi="Book Antiqua"/>
          <w:bCs/>
          <w:i/>
          <w:sz w:val="20"/>
        </w:rPr>
        <w:t xml:space="preserve"> 2019</w:t>
      </w:r>
      <w:r w:rsidR="00C14761" w:rsidRPr="00EB031E">
        <w:rPr>
          <w:rFonts w:ascii="Book Antiqua" w:hAnsi="Book Antiqua"/>
          <w:bCs/>
          <w:i/>
          <w:sz w:val="20"/>
        </w:rPr>
        <w:t>, 2020</w:t>
      </w:r>
      <w:r w:rsidR="00D3239D" w:rsidRPr="00EB031E">
        <w:rPr>
          <w:rFonts w:ascii="Book Antiqua" w:hAnsi="Book Antiqua"/>
          <w:bCs/>
          <w:i/>
          <w:sz w:val="20"/>
        </w:rPr>
        <w:t>,</w:t>
      </w:r>
      <w:r w:rsidR="00C14761" w:rsidRPr="00EB031E">
        <w:rPr>
          <w:rFonts w:ascii="Book Antiqua" w:hAnsi="Book Antiqua"/>
          <w:bCs/>
          <w:i/>
          <w:sz w:val="20"/>
        </w:rPr>
        <w:t xml:space="preserve"> </w:t>
      </w:r>
      <w:r w:rsidR="00D3239D" w:rsidRPr="00EB031E">
        <w:rPr>
          <w:rFonts w:ascii="Book Antiqua" w:hAnsi="Book Antiqua"/>
          <w:bCs/>
          <w:i/>
          <w:sz w:val="20"/>
        </w:rPr>
        <w:t>los datos del primer semestre del 2021 son datos obtenidos de SIGMA</w:t>
      </w:r>
      <w:r w:rsidR="00665AF3" w:rsidRPr="00EB031E">
        <w:rPr>
          <w:rFonts w:ascii="Book Antiqua" w:hAnsi="Book Antiqua"/>
          <w:bCs/>
          <w:i/>
          <w:sz w:val="20"/>
        </w:rPr>
        <w:t>.</w:t>
      </w:r>
    </w:p>
    <w:p w14:paraId="72551CE1" w14:textId="25115CD7" w:rsidR="000C2074" w:rsidRPr="00EB031E" w:rsidRDefault="00355934" w:rsidP="0060505C">
      <w:pPr>
        <w:spacing w:line="276" w:lineRule="auto"/>
        <w:jc w:val="both"/>
        <w:rPr>
          <w:rFonts w:ascii="Book Antiqua" w:hAnsi="Book Antiqua"/>
        </w:rPr>
      </w:pPr>
      <w:r w:rsidRPr="00B7076C">
        <w:rPr>
          <w:rFonts w:ascii="Book Antiqua" w:hAnsi="Book Antiqua"/>
        </w:rPr>
        <w:t xml:space="preserve">La mayor cantidad de casos entrados </w:t>
      </w:r>
      <w:r w:rsidR="00975A8F" w:rsidRPr="00B7076C">
        <w:rPr>
          <w:rFonts w:ascii="Book Antiqua" w:hAnsi="Book Antiqua"/>
        </w:rPr>
        <w:t>corresponde a</w:t>
      </w:r>
      <w:r w:rsidR="00881337" w:rsidRPr="00FD403C">
        <w:rPr>
          <w:rFonts w:ascii="Book Antiqua" w:hAnsi="Book Antiqua"/>
        </w:rPr>
        <w:t xml:space="preserve"> recursos planteados en</w:t>
      </w:r>
      <w:r w:rsidR="00D84689" w:rsidRPr="00B35AFA">
        <w:rPr>
          <w:rFonts w:ascii="Book Antiqua" w:hAnsi="Book Antiqua"/>
        </w:rPr>
        <w:t xml:space="preserve"> proceso</w:t>
      </w:r>
      <w:r w:rsidR="00881337" w:rsidRPr="00B35AFA">
        <w:rPr>
          <w:rFonts w:ascii="Book Antiqua" w:hAnsi="Book Antiqua"/>
        </w:rPr>
        <w:t>s</w:t>
      </w:r>
      <w:r w:rsidR="00D84689" w:rsidRPr="00B35AFA">
        <w:rPr>
          <w:rFonts w:ascii="Book Antiqua" w:hAnsi="Book Antiqua"/>
        </w:rPr>
        <w:t xml:space="preserve"> de Monitorio dinerario, el cual represent</w:t>
      </w:r>
      <w:r w:rsidR="0093756A" w:rsidRPr="000802CB">
        <w:rPr>
          <w:rFonts w:ascii="Book Antiqua" w:hAnsi="Book Antiqua"/>
        </w:rPr>
        <w:t>ó</w:t>
      </w:r>
      <w:r w:rsidR="00D84689" w:rsidRPr="000802CB">
        <w:rPr>
          <w:rFonts w:ascii="Book Antiqua" w:hAnsi="Book Antiqua"/>
        </w:rPr>
        <w:t xml:space="preserve"> un </w:t>
      </w:r>
      <w:r w:rsidR="00B84E84" w:rsidRPr="00EB031E">
        <w:rPr>
          <w:rFonts w:ascii="Book Antiqua" w:hAnsi="Book Antiqua"/>
        </w:rPr>
        <w:t>32</w:t>
      </w:r>
      <w:r w:rsidR="00421C92" w:rsidRPr="00B7076C">
        <w:rPr>
          <w:rFonts w:ascii="Book Antiqua" w:hAnsi="Book Antiqua"/>
        </w:rPr>
        <w:t>%</w:t>
      </w:r>
      <w:r w:rsidR="00F0671E" w:rsidRPr="00B7076C">
        <w:rPr>
          <w:rFonts w:ascii="Book Antiqua" w:hAnsi="Book Antiqua"/>
        </w:rPr>
        <w:t>de la entrada total</w:t>
      </w:r>
      <w:r w:rsidR="00542500" w:rsidRPr="00FD403C">
        <w:rPr>
          <w:rFonts w:ascii="Book Antiqua" w:hAnsi="Book Antiqua"/>
        </w:rPr>
        <w:t xml:space="preserve">, equivalente a </w:t>
      </w:r>
      <w:r w:rsidR="007F62A5" w:rsidRPr="00EB031E">
        <w:rPr>
          <w:rFonts w:ascii="Book Antiqua" w:hAnsi="Book Antiqua"/>
        </w:rPr>
        <w:t>3397</w:t>
      </w:r>
      <w:r w:rsidR="00B11CB7" w:rsidRPr="00C311BD">
        <w:rPr>
          <w:rFonts w:ascii="Book Antiqua" w:hAnsi="Book Antiqua"/>
        </w:rPr>
        <w:t xml:space="preserve"> asuntos</w:t>
      </w:r>
      <w:r w:rsidR="00D7529E" w:rsidRPr="00C311BD">
        <w:rPr>
          <w:rFonts w:ascii="Book Antiqua" w:hAnsi="Book Antiqua"/>
        </w:rPr>
        <w:t>, el</w:t>
      </w:r>
      <w:r w:rsidR="00F0671E" w:rsidRPr="00C311BD">
        <w:rPr>
          <w:rFonts w:ascii="Book Antiqua" w:hAnsi="Book Antiqua"/>
        </w:rPr>
        <w:t xml:space="preserve"> </w:t>
      </w:r>
      <w:r w:rsidR="00D7529E" w:rsidRPr="00C311BD">
        <w:rPr>
          <w:rFonts w:ascii="Book Antiqua" w:hAnsi="Book Antiqua"/>
        </w:rPr>
        <w:t xml:space="preserve">Tribunal de Apelaciones Civil y Trabajo de Alajuela, </w:t>
      </w:r>
      <w:r w:rsidR="0093756A" w:rsidRPr="00C311BD">
        <w:rPr>
          <w:rFonts w:ascii="Book Antiqua" w:hAnsi="Book Antiqua"/>
        </w:rPr>
        <w:t xml:space="preserve">corresponde al </w:t>
      </w:r>
      <w:r w:rsidR="00BE56EC" w:rsidRPr="00C311BD">
        <w:rPr>
          <w:rFonts w:ascii="Book Antiqua" w:hAnsi="Book Antiqua"/>
        </w:rPr>
        <w:t>D</w:t>
      </w:r>
      <w:r w:rsidR="0093756A" w:rsidRPr="00C311BD">
        <w:rPr>
          <w:rFonts w:ascii="Book Antiqua" w:hAnsi="Book Antiqua"/>
        </w:rPr>
        <w:t>espacho</w:t>
      </w:r>
      <w:r w:rsidR="00D7529E" w:rsidRPr="00C311BD">
        <w:rPr>
          <w:rFonts w:ascii="Book Antiqua" w:hAnsi="Book Antiqua"/>
        </w:rPr>
        <w:t xml:space="preserve"> que más </w:t>
      </w:r>
      <w:r w:rsidR="00983C73" w:rsidRPr="00C311BD">
        <w:rPr>
          <w:rFonts w:ascii="Book Antiqua" w:hAnsi="Book Antiqua"/>
        </w:rPr>
        <w:t xml:space="preserve">le ingreso este </w:t>
      </w:r>
      <w:r w:rsidR="00D7529E" w:rsidRPr="00C311BD">
        <w:rPr>
          <w:rFonts w:ascii="Book Antiqua" w:hAnsi="Book Antiqua"/>
        </w:rPr>
        <w:t>tipo de proceso</w:t>
      </w:r>
      <w:r w:rsidR="0093756A" w:rsidRPr="00C311BD">
        <w:rPr>
          <w:rFonts w:ascii="Book Antiqua" w:hAnsi="Book Antiqua"/>
        </w:rPr>
        <w:t xml:space="preserve">, en </w:t>
      </w:r>
      <w:r w:rsidR="00FD6C6E" w:rsidRPr="00C311BD">
        <w:rPr>
          <w:rFonts w:ascii="Book Antiqua" w:hAnsi="Book Antiqua"/>
        </w:rPr>
        <w:t xml:space="preserve">el </w:t>
      </w:r>
      <w:r w:rsidR="0093756A" w:rsidRPr="00C311BD">
        <w:rPr>
          <w:rFonts w:ascii="Book Antiqua" w:hAnsi="Book Antiqua"/>
        </w:rPr>
        <w:t xml:space="preserve">periodo analizado le ingresaron </w:t>
      </w:r>
      <w:r w:rsidR="000C2074" w:rsidRPr="00EB031E">
        <w:rPr>
          <w:rFonts w:ascii="Book Antiqua" w:hAnsi="Book Antiqua"/>
        </w:rPr>
        <w:t>1820</w:t>
      </w:r>
      <w:r w:rsidR="000C2074" w:rsidRPr="00B7076C">
        <w:rPr>
          <w:rFonts w:ascii="Book Antiqua" w:hAnsi="Book Antiqua"/>
        </w:rPr>
        <w:t xml:space="preserve"> </w:t>
      </w:r>
      <w:r w:rsidR="00A633DF" w:rsidRPr="00B7076C">
        <w:rPr>
          <w:rFonts w:ascii="Book Antiqua" w:hAnsi="Book Antiqua"/>
        </w:rPr>
        <w:t xml:space="preserve">casos. </w:t>
      </w:r>
    </w:p>
    <w:p w14:paraId="0F467D32" w14:textId="2D94D1A7" w:rsidR="002D1CF3" w:rsidRPr="00AC4601" w:rsidRDefault="00B503E5" w:rsidP="0060505C">
      <w:pPr>
        <w:spacing w:line="276" w:lineRule="auto"/>
        <w:jc w:val="both"/>
        <w:rPr>
          <w:rFonts w:ascii="Book Antiqua" w:hAnsi="Book Antiqua"/>
        </w:rPr>
      </w:pPr>
      <w:r w:rsidRPr="00B7076C">
        <w:rPr>
          <w:rFonts w:ascii="Book Antiqua" w:hAnsi="Book Antiqua"/>
        </w:rPr>
        <w:t>Los asuntos</w:t>
      </w:r>
      <w:r w:rsidR="000C2074" w:rsidRPr="00EB031E">
        <w:rPr>
          <w:rFonts w:ascii="Book Antiqua" w:hAnsi="Book Antiqua"/>
        </w:rPr>
        <w:t xml:space="preserve"> Ejecución hipotecaria</w:t>
      </w:r>
      <w:r w:rsidRPr="00B7076C">
        <w:rPr>
          <w:rFonts w:ascii="Book Antiqua" w:hAnsi="Book Antiqua"/>
        </w:rPr>
        <w:t xml:space="preserve"> </w:t>
      </w:r>
      <w:r w:rsidRPr="00C311BD">
        <w:rPr>
          <w:rFonts w:ascii="Book Antiqua" w:hAnsi="Book Antiqua"/>
        </w:rPr>
        <w:t xml:space="preserve">corresponden al segundo tipo de proceso con </w:t>
      </w:r>
      <w:r w:rsidR="00B64745" w:rsidRPr="00C311BD">
        <w:rPr>
          <w:rFonts w:ascii="Book Antiqua" w:hAnsi="Book Antiqua"/>
        </w:rPr>
        <w:t xml:space="preserve">mayor ingreso, lo que se traduce porcentualmente en un </w:t>
      </w:r>
      <w:r w:rsidR="000C2074" w:rsidRPr="00EB031E">
        <w:rPr>
          <w:rFonts w:ascii="Book Antiqua" w:hAnsi="Book Antiqua"/>
        </w:rPr>
        <w:t>17</w:t>
      </w:r>
      <w:r w:rsidR="00B64745" w:rsidRPr="00B7076C">
        <w:rPr>
          <w:rFonts w:ascii="Book Antiqua" w:hAnsi="Book Antiqua"/>
        </w:rPr>
        <w:t xml:space="preserve">%, el Tribunal de Alajuela </w:t>
      </w:r>
      <w:r w:rsidR="00FD6C6E" w:rsidRPr="00B7076C">
        <w:rPr>
          <w:rFonts w:ascii="Book Antiqua" w:hAnsi="Book Antiqua"/>
        </w:rPr>
        <w:t xml:space="preserve">es </w:t>
      </w:r>
      <w:r w:rsidR="00B64745" w:rsidRPr="00FD403C">
        <w:rPr>
          <w:rFonts w:ascii="Book Antiqua" w:hAnsi="Book Antiqua"/>
        </w:rPr>
        <w:t xml:space="preserve">el que tiene mayor ingreso de este tipo de casos, con </w:t>
      </w:r>
      <w:r w:rsidR="00C311BD" w:rsidRPr="00EB031E">
        <w:rPr>
          <w:rFonts w:ascii="Book Antiqua" w:hAnsi="Book Antiqua"/>
        </w:rPr>
        <w:t>507</w:t>
      </w:r>
      <w:r w:rsidR="00B64745" w:rsidRPr="00C311BD">
        <w:rPr>
          <w:rFonts w:ascii="Book Antiqua" w:hAnsi="Book Antiqua"/>
        </w:rPr>
        <w:t xml:space="preserve"> asunto</w:t>
      </w:r>
      <w:r w:rsidR="00C00A2F" w:rsidRPr="00C311BD">
        <w:rPr>
          <w:rFonts w:ascii="Book Antiqua" w:hAnsi="Book Antiqua"/>
        </w:rPr>
        <w:t>s</w:t>
      </w:r>
      <w:r w:rsidR="00B64745" w:rsidRPr="00C311BD">
        <w:rPr>
          <w:rFonts w:ascii="Book Antiqua" w:hAnsi="Book Antiqua"/>
        </w:rPr>
        <w:t xml:space="preserve">. </w:t>
      </w:r>
      <w:r w:rsidR="00827848" w:rsidRPr="00C311BD">
        <w:rPr>
          <w:rFonts w:ascii="Book Antiqua" w:hAnsi="Book Antiqua"/>
        </w:rPr>
        <w:t xml:space="preserve">El </w:t>
      </w:r>
      <w:r w:rsidR="00ED31FB" w:rsidRPr="00C311BD">
        <w:rPr>
          <w:rFonts w:ascii="Book Antiqua" w:hAnsi="Book Antiqua"/>
        </w:rPr>
        <w:t xml:space="preserve">tercer tipo de proceso que represento mayor ingreso corresponde a </w:t>
      </w:r>
      <w:r w:rsidR="00CB40A4" w:rsidRPr="00EB031E">
        <w:rPr>
          <w:rFonts w:ascii="Book Antiqua" w:hAnsi="Book Antiqua"/>
        </w:rPr>
        <w:t>Ordinarios</w:t>
      </w:r>
      <w:r w:rsidR="00CB40A4" w:rsidRPr="00EB031E" w:rsidDel="000C2074">
        <w:rPr>
          <w:rFonts w:ascii="Book Antiqua" w:hAnsi="Book Antiqua"/>
        </w:rPr>
        <w:t xml:space="preserve"> </w:t>
      </w:r>
      <w:r w:rsidR="00CB40A4" w:rsidRPr="00EB031E">
        <w:rPr>
          <w:rFonts w:ascii="Book Antiqua" w:hAnsi="Book Antiqua"/>
        </w:rPr>
        <w:t>con</w:t>
      </w:r>
      <w:r w:rsidR="00615C2D" w:rsidRPr="00C311BD">
        <w:rPr>
          <w:rFonts w:ascii="Book Antiqua" w:hAnsi="Book Antiqua"/>
        </w:rPr>
        <w:t xml:space="preserve"> un 1</w:t>
      </w:r>
      <w:r w:rsidR="00C311BD" w:rsidRPr="00EB031E">
        <w:rPr>
          <w:rFonts w:ascii="Book Antiqua" w:hAnsi="Book Antiqua"/>
        </w:rPr>
        <w:t>4</w:t>
      </w:r>
      <w:r w:rsidR="00615C2D" w:rsidRPr="00C311BD">
        <w:rPr>
          <w:rFonts w:ascii="Book Antiqua" w:hAnsi="Book Antiqua"/>
        </w:rPr>
        <w:t xml:space="preserve">% del total de entrados, lo que es equivalente a </w:t>
      </w:r>
      <w:r w:rsidR="00C311BD" w:rsidRPr="00EB031E">
        <w:rPr>
          <w:rFonts w:ascii="Book Antiqua" w:hAnsi="Book Antiqua"/>
        </w:rPr>
        <w:t>1455</w:t>
      </w:r>
      <w:r w:rsidR="00C311BD" w:rsidRPr="00B7076C">
        <w:rPr>
          <w:rFonts w:ascii="Book Antiqua" w:hAnsi="Book Antiqua"/>
        </w:rPr>
        <w:t xml:space="preserve"> </w:t>
      </w:r>
      <w:r w:rsidR="000C53FE" w:rsidRPr="00B7076C">
        <w:rPr>
          <w:rFonts w:ascii="Book Antiqua" w:hAnsi="Book Antiqua"/>
        </w:rPr>
        <w:t>asuntos.</w:t>
      </w:r>
      <w:r w:rsidR="000C53FE">
        <w:rPr>
          <w:rFonts w:ascii="Book Antiqua" w:hAnsi="Book Antiqua"/>
        </w:rPr>
        <w:t xml:space="preserve"> </w:t>
      </w:r>
    </w:p>
    <w:p w14:paraId="2D273DAA" w14:textId="2CEAC98C" w:rsidR="00446185" w:rsidRDefault="00446185" w:rsidP="00D90E49">
      <w:pPr>
        <w:spacing w:line="276" w:lineRule="auto"/>
        <w:jc w:val="both"/>
        <w:rPr>
          <w:rFonts w:ascii="Book Antiqua" w:hAnsi="Book Antiqua"/>
        </w:rPr>
      </w:pPr>
    </w:p>
    <w:p w14:paraId="4642DA13" w14:textId="0DB4D90E" w:rsidR="006E6CBA" w:rsidRDefault="006E6CBA" w:rsidP="00D90E49">
      <w:pPr>
        <w:spacing w:line="276" w:lineRule="auto"/>
        <w:jc w:val="both"/>
        <w:rPr>
          <w:rFonts w:ascii="Book Antiqua" w:hAnsi="Book Antiqua"/>
        </w:rPr>
      </w:pPr>
    </w:p>
    <w:p w14:paraId="6DF7B2DE" w14:textId="5295E51C" w:rsidR="006E6CBA" w:rsidRDefault="006E6CBA" w:rsidP="00D90E49">
      <w:pPr>
        <w:spacing w:line="276" w:lineRule="auto"/>
        <w:jc w:val="both"/>
        <w:rPr>
          <w:rFonts w:ascii="Book Antiqua" w:hAnsi="Book Antiqua"/>
        </w:rPr>
      </w:pPr>
    </w:p>
    <w:p w14:paraId="5B8343C1" w14:textId="55CB221F" w:rsidR="006E6CBA" w:rsidRDefault="006E6CBA" w:rsidP="00D90E49">
      <w:pPr>
        <w:spacing w:line="276" w:lineRule="auto"/>
        <w:jc w:val="both"/>
        <w:rPr>
          <w:rFonts w:ascii="Book Antiqua" w:hAnsi="Book Antiqua"/>
        </w:rPr>
      </w:pPr>
    </w:p>
    <w:p w14:paraId="6CE8E563" w14:textId="77777777" w:rsidR="006E6CBA" w:rsidRPr="00AC4601" w:rsidRDefault="006E6CBA" w:rsidP="00D90E49">
      <w:pPr>
        <w:spacing w:line="276" w:lineRule="auto"/>
        <w:jc w:val="both"/>
        <w:rPr>
          <w:rFonts w:ascii="Book Antiqua" w:hAnsi="Book Antiqua"/>
        </w:rPr>
      </w:pPr>
    </w:p>
    <w:p w14:paraId="187886AF" w14:textId="73BC3454" w:rsidR="008235E7" w:rsidRPr="004D6509" w:rsidRDefault="008235E7" w:rsidP="009C259C">
      <w:pPr>
        <w:pStyle w:val="Ttulo3"/>
        <w:numPr>
          <w:ilvl w:val="2"/>
          <w:numId w:val="1"/>
        </w:numPr>
        <w:rPr>
          <w:rFonts w:ascii="Book Antiqua" w:hAnsi="Book Antiqua"/>
          <w:b/>
          <w:color w:val="000000" w:themeColor="text1"/>
          <w:szCs w:val="22"/>
          <w:u w:val="single"/>
        </w:rPr>
      </w:pPr>
      <w:r w:rsidRPr="004D6509">
        <w:rPr>
          <w:rFonts w:ascii="Book Antiqua" w:hAnsi="Book Antiqua"/>
          <w:b/>
          <w:color w:val="000000" w:themeColor="text1"/>
          <w:szCs w:val="22"/>
          <w:u w:val="single"/>
        </w:rPr>
        <w:t xml:space="preserve">Análisis de asuntos entrados en materia Laboral </w:t>
      </w:r>
    </w:p>
    <w:p w14:paraId="16306DE8" w14:textId="77777777" w:rsidR="00446185" w:rsidRPr="00446185" w:rsidRDefault="00446185" w:rsidP="004D6509"/>
    <w:p w14:paraId="60BF6CC8" w14:textId="5125A2C4" w:rsidR="00B733A7" w:rsidRPr="00935E26" w:rsidRDefault="00881337" w:rsidP="0060505C">
      <w:pPr>
        <w:spacing w:line="276" w:lineRule="auto"/>
        <w:jc w:val="both"/>
        <w:rPr>
          <w:rFonts w:ascii="Book Antiqua" w:hAnsi="Book Antiqua"/>
        </w:rPr>
      </w:pPr>
      <w:r>
        <w:rPr>
          <w:rFonts w:ascii="Book Antiqua" w:hAnsi="Book Antiqua"/>
        </w:rPr>
        <w:t xml:space="preserve">Los recursos </w:t>
      </w:r>
      <w:r w:rsidR="00B733A7" w:rsidRPr="00935E26">
        <w:rPr>
          <w:rFonts w:ascii="Book Antiqua" w:hAnsi="Book Antiqua"/>
        </w:rPr>
        <w:t>por tipo de proceso en materia de Trabajo</w:t>
      </w:r>
      <w:r w:rsidR="00381A28" w:rsidRPr="00935E26">
        <w:rPr>
          <w:rFonts w:ascii="Book Antiqua" w:hAnsi="Book Antiqua"/>
        </w:rPr>
        <w:t xml:space="preserve"> durante el </w:t>
      </w:r>
      <w:r w:rsidR="00660AC9" w:rsidRPr="00935E26">
        <w:rPr>
          <w:rFonts w:ascii="Book Antiqua" w:hAnsi="Book Antiqua"/>
        </w:rPr>
        <w:t>2018</w:t>
      </w:r>
      <w:r w:rsidR="006608F7">
        <w:rPr>
          <w:rFonts w:ascii="Book Antiqua" w:hAnsi="Book Antiqua"/>
        </w:rPr>
        <w:t xml:space="preserve">, </w:t>
      </w:r>
      <w:r w:rsidR="00446185">
        <w:rPr>
          <w:rFonts w:ascii="Book Antiqua" w:hAnsi="Book Antiqua"/>
        </w:rPr>
        <w:t>2019</w:t>
      </w:r>
      <w:r w:rsidR="006608F7">
        <w:rPr>
          <w:rFonts w:ascii="Book Antiqua" w:hAnsi="Book Antiqua"/>
        </w:rPr>
        <w:t>,2020 y primer semestre del 202</w:t>
      </w:r>
      <w:r w:rsidR="00B35AFA">
        <w:rPr>
          <w:rFonts w:ascii="Book Antiqua" w:hAnsi="Book Antiqua"/>
        </w:rPr>
        <w:t>1</w:t>
      </w:r>
      <w:r w:rsidR="006608F7">
        <w:rPr>
          <w:rFonts w:ascii="Book Antiqua" w:hAnsi="Book Antiqua"/>
        </w:rPr>
        <w:t>, los resul</w:t>
      </w:r>
      <w:r w:rsidR="00F15A49">
        <w:rPr>
          <w:rFonts w:ascii="Book Antiqua" w:hAnsi="Book Antiqua"/>
        </w:rPr>
        <w:t>tados obtenidos</w:t>
      </w:r>
      <w:r w:rsidR="00446185">
        <w:rPr>
          <w:rFonts w:ascii="Book Antiqua" w:hAnsi="Book Antiqua"/>
        </w:rPr>
        <w:t xml:space="preserve"> </w:t>
      </w:r>
      <w:r w:rsidR="00381A28" w:rsidRPr="00935E26">
        <w:rPr>
          <w:rFonts w:ascii="Book Antiqua" w:hAnsi="Book Antiqua"/>
        </w:rPr>
        <w:t xml:space="preserve">se </w:t>
      </w:r>
      <w:r w:rsidR="00F15A49">
        <w:rPr>
          <w:rFonts w:ascii="Book Antiqua" w:hAnsi="Book Antiqua"/>
        </w:rPr>
        <w:t xml:space="preserve">detallan </w:t>
      </w:r>
      <w:r w:rsidR="00381A28" w:rsidRPr="00935E26">
        <w:rPr>
          <w:rFonts w:ascii="Book Antiqua" w:hAnsi="Book Antiqua"/>
        </w:rPr>
        <w:t xml:space="preserve">a continuación. </w:t>
      </w:r>
    </w:p>
    <w:p w14:paraId="5E794373" w14:textId="163EE864" w:rsidR="00DB3347" w:rsidRPr="00410ED4" w:rsidRDefault="00DB3347" w:rsidP="00DB3347">
      <w:pPr>
        <w:keepNext/>
        <w:widowControl w:val="0"/>
        <w:autoSpaceDE w:val="0"/>
        <w:autoSpaceDN w:val="0"/>
        <w:adjustRightInd w:val="0"/>
        <w:spacing w:after="0" w:line="240" w:lineRule="auto"/>
        <w:jc w:val="center"/>
        <w:rPr>
          <w:rFonts w:ascii="Book Antiqua" w:eastAsia="Times New Roman" w:hAnsi="Book Antiqua" w:cs="Arial"/>
          <w:b/>
          <w:bCs/>
          <w:color w:val="1F497D" w:themeColor="text2"/>
          <w:lang w:eastAsia="es-ES"/>
        </w:rPr>
      </w:pPr>
      <w:r w:rsidRPr="00410ED4">
        <w:rPr>
          <w:rFonts w:ascii="Book Antiqua" w:eastAsia="Times New Roman" w:hAnsi="Book Antiqua" w:cs="Arial"/>
          <w:b/>
          <w:bCs/>
          <w:color w:val="1F497D" w:themeColor="text2"/>
          <w:lang w:eastAsia="es-ES"/>
        </w:rPr>
        <w:lastRenderedPageBreak/>
        <w:t xml:space="preserve">Cuadro </w:t>
      </w:r>
      <w:r w:rsidRPr="00410ED4">
        <w:rPr>
          <w:rFonts w:ascii="Book Antiqua" w:eastAsia="Times New Roman" w:hAnsi="Book Antiqua" w:cs="Arial"/>
          <w:b/>
          <w:bCs/>
          <w:color w:val="1F497D" w:themeColor="text2"/>
          <w:lang w:eastAsia="es-ES"/>
        </w:rPr>
        <w:fldChar w:fldCharType="begin"/>
      </w:r>
      <w:r w:rsidRPr="00410ED4">
        <w:rPr>
          <w:rFonts w:ascii="Book Antiqua" w:eastAsia="Times New Roman" w:hAnsi="Book Antiqua" w:cs="Arial"/>
          <w:b/>
          <w:bCs/>
          <w:color w:val="1F497D" w:themeColor="text2"/>
          <w:lang w:eastAsia="es-ES"/>
        </w:rPr>
        <w:instrText xml:space="preserve"> SEQ Cuadro \* ARABIC </w:instrText>
      </w:r>
      <w:r w:rsidRPr="00410ED4">
        <w:rPr>
          <w:rFonts w:ascii="Book Antiqua" w:eastAsia="Times New Roman" w:hAnsi="Book Antiqua" w:cs="Arial"/>
          <w:b/>
          <w:bCs/>
          <w:color w:val="1F497D" w:themeColor="text2"/>
          <w:lang w:eastAsia="es-ES"/>
        </w:rPr>
        <w:fldChar w:fldCharType="separate"/>
      </w:r>
      <w:r>
        <w:rPr>
          <w:rFonts w:ascii="Book Antiqua" w:eastAsia="Times New Roman" w:hAnsi="Book Antiqua" w:cs="Arial"/>
          <w:b/>
          <w:bCs/>
          <w:noProof/>
          <w:color w:val="1F497D" w:themeColor="text2"/>
          <w:lang w:eastAsia="es-ES"/>
        </w:rPr>
        <w:t>4</w:t>
      </w:r>
      <w:r w:rsidRPr="00410ED4">
        <w:rPr>
          <w:rFonts w:ascii="Book Antiqua" w:eastAsia="Times New Roman" w:hAnsi="Book Antiqua" w:cs="Arial"/>
          <w:b/>
          <w:bCs/>
          <w:color w:val="1F497D" w:themeColor="text2"/>
          <w:lang w:eastAsia="es-ES"/>
        </w:rPr>
        <w:fldChar w:fldCharType="end"/>
      </w:r>
    </w:p>
    <w:p w14:paraId="3FE7566E" w14:textId="1C79EDBB" w:rsidR="00381A28" w:rsidRPr="00AC4601" w:rsidRDefault="00881337" w:rsidP="00DB3347">
      <w:pPr>
        <w:keepNext/>
        <w:widowControl w:val="0"/>
        <w:autoSpaceDE w:val="0"/>
        <w:autoSpaceDN w:val="0"/>
        <w:adjustRightInd w:val="0"/>
        <w:spacing w:after="0" w:line="240" w:lineRule="auto"/>
        <w:jc w:val="center"/>
        <w:rPr>
          <w:rFonts w:ascii="Book Antiqua" w:eastAsia="Times New Roman" w:hAnsi="Book Antiqua" w:cs="Arial"/>
          <w:b/>
          <w:bCs/>
          <w:color w:val="1F497D" w:themeColor="text2"/>
          <w:lang w:eastAsia="es-ES"/>
        </w:rPr>
      </w:pPr>
      <w:r>
        <w:rPr>
          <w:rFonts w:ascii="Book Antiqua" w:eastAsia="Times New Roman" w:hAnsi="Book Antiqua" w:cs="Arial"/>
          <w:b/>
          <w:bCs/>
          <w:color w:val="1F497D" w:themeColor="text2"/>
          <w:lang w:eastAsia="es-ES"/>
        </w:rPr>
        <w:t>Cantidad de recursos</w:t>
      </w:r>
      <w:r w:rsidR="00381A28" w:rsidRPr="00935E26">
        <w:rPr>
          <w:rFonts w:ascii="Book Antiqua" w:eastAsia="Times New Roman" w:hAnsi="Book Antiqua" w:cs="Arial"/>
          <w:b/>
          <w:bCs/>
          <w:color w:val="1F497D" w:themeColor="text2"/>
          <w:lang w:eastAsia="es-ES"/>
        </w:rPr>
        <w:t xml:space="preserve"> según Tipo de Proceso en materia </w:t>
      </w:r>
      <w:r w:rsidR="003A67DE" w:rsidRPr="00935E26">
        <w:rPr>
          <w:rFonts w:ascii="Book Antiqua" w:eastAsia="Times New Roman" w:hAnsi="Book Antiqua" w:cs="Arial"/>
          <w:b/>
          <w:bCs/>
          <w:color w:val="1F497D" w:themeColor="text2"/>
          <w:lang w:eastAsia="es-ES"/>
        </w:rPr>
        <w:t>de Trabajo</w:t>
      </w:r>
      <w:r w:rsidR="00381A28" w:rsidRPr="00935E26">
        <w:rPr>
          <w:rFonts w:ascii="Book Antiqua" w:eastAsia="Times New Roman" w:hAnsi="Book Antiqua" w:cs="Arial"/>
          <w:b/>
          <w:bCs/>
          <w:color w:val="1F497D" w:themeColor="text2"/>
          <w:lang w:eastAsia="es-ES"/>
        </w:rPr>
        <w:t>, en los Tribunales de Apelación Civil y Trabajo</w:t>
      </w:r>
      <w:r w:rsidR="00BD2212">
        <w:rPr>
          <w:rFonts w:ascii="Book Antiqua" w:eastAsia="Times New Roman" w:hAnsi="Book Antiqua" w:cs="Arial"/>
          <w:b/>
          <w:bCs/>
          <w:color w:val="1F497D" w:themeColor="text2"/>
          <w:lang w:eastAsia="es-ES"/>
        </w:rPr>
        <w:t xml:space="preserve"> (Mixto)</w:t>
      </w:r>
      <w:r w:rsidR="00381A28" w:rsidRPr="00935E26">
        <w:rPr>
          <w:rFonts w:ascii="Book Antiqua" w:eastAsia="Times New Roman" w:hAnsi="Book Antiqua" w:cs="Arial"/>
          <w:b/>
          <w:bCs/>
          <w:color w:val="1F497D" w:themeColor="text2"/>
          <w:lang w:eastAsia="es-ES"/>
        </w:rPr>
        <w:t xml:space="preserve"> </w:t>
      </w:r>
      <w:r w:rsidR="00BD2212">
        <w:rPr>
          <w:rFonts w:ascii="Book Antiqua" w:eastAsia="Times New Roman" w:hAnsi="Book Antiqua" w:cs="Arial"/>
          <w:b/>
          <w:bCs/>
          <w:color w:val="1F497D" w:themeColor="text2"/>
          <w:lang w:eastAsia="es-ES"/>
        </w:rPr>
        <w:t>-</w:t>
      </w:r>
      <w:r w:rsidR="00381A28" w:rsidRPr="00935E26">
        <w:rPr>
          <w:rFonts w:ascii="Book Antiqua" w:eastAsia="Times New Roman" w:hAnsi="Book Antiqua" w:cs="Arial"/>
          <w:b/>
          <w:bCs/>
          <w:color w:val="1F497D" w:themeColor="text2"/>
          <w:lang w:eastAsia="es-ES"/>
        </w:rPr>
        <w:t>Periodo 2018</w:t>
      </w:r>
      <w:r w:rsidR="00F02EBD">
        <w:rPr>
          <w:rFonts w:ascii="Book Antiqua" w:eastAsia="Times New Roman" w:hAnsi="Book Antiqua" w:cs="Arial"/>
          <w:b/>
          <w:bCs/>
          <w:color w:val="1F497D" w:themeColor="text2"/>
          <w:lang w:eastAsia="es-ES"/>
        </w:rPr>
        <w:t>,</w:t>
      </w:r>
      <w:r w:rsidR="000D7762">
        <w:rPr>
          <w:rFonts w:ascii="Book Antiqua" w:eastAsia="Times New Roman" w:hAnsi="Book Antiqua" w:cs="Arial"/>
          <w:b/>
          <w:bCs/>
          <w:color w:val="1F497D" w:themeColor="text2"/>
          <w:lang w:eastAsia="es-ES"/>
        </w:rPr>
        <w:t>2019</w:t>
      </w:r>
      <w:r w:rsidR="00F02EBD">
        <w:rPr>
          <w:rFonts w:ascii="Book Antiqua" w:eastAsia="Times New Roman" w:hAnsi="Book Antiqua" w:cs="Arial"/>
          <w:b/>
          <w:bCs/>
          <w:color w:val="1F497D" w:themeColor="text2"/>
          <w:lang w:eastAsia="es-ES"/>
        </w:rPr>
        <w:t>, 2020 y primer semestre 2021</w:t>
      </w:r>
    </w:p>
    <w:tbl>
      <w:tblPr>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2031"/>
        <w:gridCol w:w="955"/>
        <w:gridCol w:w="840"/>
        <w:gridCol w:w="781"/>
        <w:gridCol w:w="800"/>
        <w:gridCol w:w="1090"/>
        <w:gridCol w:w="1060"/>
        <w:gridCol w:w="680"/>
        <w:gridCol w:w="571"/>
      </w:tblGrid>
      <w:tr w:rsidR="00C55D98" w:rsidRPr="00670A64" w14:paraId="4D137A1C" w14:textId="77777777" w:rsidTr="00EB031E">
        <w:trPr>
          <w:trHeight w:val="310"/>
        </w:trPr>
        <w:tc>
          <w:tcPr>
            <w:tcW w:w="0" w:type="auto"/>
            <w:vMerge w:val="restart"/>
            <w:shd w:val="clear" w:color="auto" w:fill="365F91" w:themeFill="accent1" w:themeFillShade="BF"/>
            <w:vAlign w:val="center"/>
            <w:hideMark/>
          </w:tcPr>
          <w:p w14:paraId="1DB34C73" w14:textId="77777777" w:rsidR="000E1013" w:rsidRPr="00EB031E" w:rsidRDefault="000E1013" w:rsidP="000E1013">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Tipo de caso</w:t>
            </w:r>
          </w:p>
        </w:tc>
        <w:tc>
          <w:tcPr>
            <w:tcW w:w="0" w:type="auto"/>
            <w:gridSpan w:val="8"/>
            <w:shd w:val="clear" w:color="000000" w:fill="F79646"/>
            <w:vAlign w:val="center"/>
            <w:hideMark/>
          </w:tcPr>
          <w:p w14:paraId="028896F2" w14:textId="77777777" w:rsidR="000E1013" w:rsidRPr="00EB031E" w:rsidRDefault="000E1013" w:rsidP="000E1013">
            <w:pPr>
              <w:spacing w:after="0" w:line="240" w:lineRule="auto"/>
              <w:jc w:val="center"/>
              <w:rPr>
                <w:rFonts w:ascii="Book Antiqua" w:eastAsia="Times New Roman" w:hAnsi="Book Antiqua" w:cs="Calibri"/>
                <w:b/>
                <w:bCs/>
                <w:color w:val="1F497D"/>
                <w:sz w:val="18"/>
                <w:szCs w:val="18"/>
                <w:lang w:eastAsia="es-CR"/>
              </w:rPr>
            </w:pPr>
            <w:r w:rsidRPr="00EB031E">
              <w:rPr>
                <w:rFonts w:ascii="Book Antiqua" w:eastAsia="Times New Roman" w:hAnsi="Book Antiqua" w:cs="Calibri"/>
                <w:b/>
                <w:bCs/>
                <w:color w:val="1F497D"/>
                <w:sz w:val="18"/>
                <w:szCs w:val="18"/>
                <w:lang w:eastAsia="es-CR"/>
              </w:rPr>
              <w:t>Tribunales de Apelación Civil y Trabajo 2018-2019-2020 y I Semestre 2021</w:t>
            </w:r>
          </w:p>
        </w:tc>
      </w:tr>
      <w:tr w:rsidR="006A56B4" w:rsidRPr="00670A64" w14:paraId="50275C77" w14:textId="77777777" w:rsidTr="006A56B4">
        <w:trPr>
          <w:trHeight w:val="310"/>
        </w:trPr>
        <w:tc>
          <w:tcPr>
            <w:tcW w:w="0" w:type="auto"/>
            <w:vMerge/>
            <w:shd w:val="clear" w:color="auto" w:fill="365F91" w:themeFill="accent1" w:themeFillShade="BF"/>
            <w:vAlign w:val="center"/>
            <w:hideMark/>
          </w:tcPr>
          <w:p w14:paraId="7F4066DA" w14:textId="77777777" w:rsidR="000E1013" w:rsidRPr="00EB031E" w:rsidRDefault="000E1013" w:rsidP="000E1013">
            <w:pPr>
              <w:spacing w:after="0" w:line="240" w:lineRule="auto"/>
              <w:rPr>
                <w:rFonts w:ascii="Book Antiqua" w:eastAsia="Times New Roman" w:hAnsi="Book Antiqua" w:cs="Calibri"/>
                <w:b/>
                <w:bCs/>
                <w:color w:val="FFFFFF"/>
                <w:sz w:val="18"/>
                <w:szCs w:val="18"/>
                <w:lang w:eastAsia="es-CR"/>
              </w:rPr>
            </w:pPr>
          </w:p>
        </w:tc>
        <w:tc>
          <w:tcPr>
            <w:tcW w:w="0" w:type="auto"/>
            <w:shd w:val="clear" w:color="auto" w:fill="365F91" w:themeFill="accent1" w:themeFillShade="BF"/>
            <w:vAlign w:val="center"/>
            <w:hideMark/>
          </w:tcPr>
          <w:p w14:paraId="64B6B281" w14:textId="77777777" w:rsidR="000E1013" w:rsidRPr="000802CB" w:rsidRDefault="000E1013" w:rsidP="000E1013">
            <w:pPr>
              <w:spacing w:after="0" w:line="240" w:lineRule="auto"/>
              <w:jc w:val="center"/>
              <w:rPr>
                <w:rFonts w:ascii="Book Antiqua" w:eastAsia="Times New Roman" w:hAnsi="Book Antiqua" w:cs="Calibri"/>
                <w:b/>
                <w:bCs/>
                <w:color w:val="FFFFFF"/>
                <w:sz w:val="18"/>
                <w:szCs w:val="18"/>
                <w:lang w:eastAsia="es-CR"/>
              </w:rPr>
            </w:pPr>
            <w:r w:rsidRPr="00B7076C">
              <w:rPr>
                <w:rFonts w:ascii="Book Antiqua" w:eastAsia="Times New Roman" w:hAnsi="Book Antiqua" w:cs="Calibri"/>
                <w:b/>
                <w:bCs/>
                <w:color w:val="FFFFFF"/>
                <w:sz w:val="18"/>
                <w:szCs w:val="18"/>
                <w:lang w:eastAsia="es-CR"/>
              </w:rPr>
              <w:t xml:space="preserve">Pérez Zeledón </w:t>
            </w:r>
          </w:p>
        </w:tc>
        <w:tc>
          <w:tcPr>
            <w:tcW w:w="0" w:type="auto"/>
            <w:shd w:val="clear" w:color="auto" w:fill="365F91" w:themeFill="accent1" w:themeFillShade="BF"/>
            <w:vAlign w:val="center"/>
            <w:hideMark/>
          </w:tcPr>
          <w:p w14:paraId="4FEADBB3" w14:textId="77777777" w:rsidR="000E1013" w:rsidRPr="00670A64" w:rsidRDefault="000E1013" w:rsidP="000E1013">
            <w:pPr>
              <w:spacing w:after="0" w:line="240" w:lineRule="auto"/>
              <w:jc w:val="center"/>
              <w:rPr>
                <w:rFonts w:ascii="Book Antiqua" w:eastAsia="Times New Roman" w:hAnsi="Book Antiqua" w:cs="Calibri"/>
                <w:b/>
                <w:bCs/>
                <w:color w:val="FFFFFF"/>
                <w:sz w:val="18"/>
                <w:szCs w:val="18"/>
                <w:lang w:eastAsia="es-CR"/>
              </w:rPr>
            </w:pPr>
            <w:r w:rsidRPr="00670A64">
              <w:rPr>
                <w:rFonts w:ascii="Book Antiqua" w:eastAsia="Times New Roman" w:hAnsi="Book Antiqua" w:cs="Calibri"/>
                <w:b/>
                <w:bCs/>
                <w:color w:val="FFFFFF"/>
                <w:sz w:val="18"/>
                <w:szCs w:val="18"/>
                <w:lang w:eastAsia="es-CR"/>
              </w:rPr>
              <w:t>Alajuela</w:t>
            </w:r>
          </w:p>
        </w:tc>
        <w:tc>
          <w:tcPr>
            <w:tcW w:w="0" w:type="auto"/>
            <w:shd w:val="clear" w:color="auto" w:fill="365F91" w:themeFill="accent1" w:themeFillShade="BF"/>
            <w:vAlign w:val="center"/>
            <w:hideMark/>
          </w:tcPr>
          <w:p w14:paraId="7FFB3DE3" w14:textId="77777777" w:rsidR="000E1013" w:rsidRPr="00670A64" w:rsidRDefault="000E1013" w:rsidP="000E1013">
            <w:pPr>
              <w:spacing w:after="0" w:line="240" w:lineRule="auto"/>
              <w:jc w:val="center"/>
              <w:rPr>
                <w:rFonts w:ascii="Book Antiqua" w:eastAsia="Times New Roman" w:hAnsi="Book Antiqua" w:cs="Calibri"/>
                <w:b/>
                <w:bCs/>
                <w:color w:val="FFFFFF"/>
                <w:sz w:val="18"/>
                <w:szCs w:val="18"/>
                <w:lang w:eastAsia="es-CR"/>
              </w:rPr>
            </w:pPr>
            <w:r w:rsidRPr="00670A64">
              <w:rPr>
                <w:rFonts w:ascii="Book Antiqua" w:eastAsia="Times New Roman" w:hAnsi="Book Antiqua" w:cs="Calibri"/>
                <w:b/>
                <w:bCs/>
                <w:color w:val="FFFFFF"/>
                <w:sz w:val="18"/>
                <w:szCs w:val="18"/>
                <w:lang w:eastAsia="es-CR"/>
              </w:rPr>
              <w:t>Cartago</w:t>
            </w:r>
          </w:p>
        </w:tc>
        <w:tc>
          <w:tcPr>
            <w:tcW w:w="0" w:type="auto"/>
            <w:shd w:val="clear" w:color="auto" w:fill="365F91" w:themeFill="accent1" w:themeFillShade="BF"/>
            <w:vAlign w:val="center"/>
            <w:hideMark/>
          </w:tcPr>
          <w:p w14:paraId="648221D4" w14:textId="77777777" w:rsidR="000E1013" w:rsidRPr="00670A64" w:rsidRDefault="000E1013" w:rsidP="000E1013">
            <w:pPr>
              <w:spacing w:after="0" w:line="240" w:lineRule="auto"/>
              <w:jc w:val="center"/>
              <w:rPr>
                <w:rFonts w:ascii="Book Antiqua" w:eastAsia="Times New Roman" w:hAnsi="Book Antiqua" w:cs="Calibri"/>
                <w:b/>
                <w:bCs/>
                <w:color w:val="FFFFFF"/>
                <w:sz w:val="18"/>
                <w:szCs w:val="18"/>
                <w:lang w:eastAsia="es-CR"/>
              </w:rPr>
            </w:pPr>
            <w:r w:rsidRPr="00670A64">
              <w:rPr>
                <w:rFonts w:ascii="Book Antiqua" w:eastAsia="Times New Roman" w:hAnsi="Book Antiqua" w:cs="Calibri"/>
                <w:b/>
                <w:bCs/>
                <w:color w:val="FFFFFF"/>
                <w:sz w:val="18"/>
                <w:szCs w:val="18"/>
                <w:lang w:eastAsia="es-CR"/>
              </w:rPr>
              <w:t>Heredia</w:t>
            </w:r>
          </w:p>
        </w:tc>
        <w:tc>
          <w:tcPr>
            <w:tcW w:w="0" w:type="auto"/>
            <w:shd w:val="clear" w:color="auto" w:fill="365F91" w:themeFill="accent1" w:themeFillShade="BF"/>
            <w:vAlign w:val="center"/>
            <w:hideMark/>
          </w:tcPr>
          <w:p w14:paraId="6F589F4C" w14:textId="77777777" w:rsidR="000E1013" w:rsidRPr="00670A64" w:rsidRDefault="000E1013" w:rsidP="000E1013">
            <w:pPr>
              <w:spacing w:after="0" w:line="240" w:lineRule="auto"/>
              <w:jc w:val="center"/>
              <w:rPr>
                <w:rFonts w:ascii="Book Antiqua" w:eastAsia="Times New Roman" w:hAnsi="Book Antiqua" w:cs="Calibri"/>
                <w:b/>
                <w:bCs/>
                <w:color w:val="FFFFFF"/>
                <w:sz w:val="18"/>
                <w:szCs w:val="18"/>
                <w:lang w:eastAsia="es-CR"/>
              </w:rPr>
            </w:pPr>
            <w:r w:rsidRPr="00670A64">
              <w:rPr>
                <w:rFonts w:ascii="Book Antiqua" w:eastAsia="Times New Roman" w:hAnsi="Book Antiqua" w:cs="Calibri"/>
                <w:b/>
                <w:bCs/>
                <w:color w:val="FFFFFF"/>
                <w:sz w:val="18"/>
                <w:szCs w:val="18"/>
                <w:lang w:eastAsia="es-CR"/>
              </w:rPr>
              <w:t>Guanacaste</w:t>
            </w:r>
          </w:p>
        </w:tc>
        <w:tc>
          <w:tcPr>
            <w:tcW w:w="0" w:type="auto"/>
            <w:shd w:val="clear" w:color="auto" w:fill="365F91" w:themeFill="accent1" w:themeFillShade="BF"/>
            <w:vAlign w:val="center"/>
            <w:hideMark/>
          </w:tcPr>
          <w:p w14:paraId="35E42C48" w14:textId="77777777" w:rsidR="000E1013" w:rsidRPr="00670A64" w:rsidRDefault="000E1013" w:rsidP="000E1013">
            <w:pPr>
              <w:spacing w:after="0" w:line="240" w:lineRule="auto"/>
              <w:jc w:val="center"/>
              <w:rPr>
                <w:rFonts w:ascii="Book Antiqua" w:eastAsia="Times New Roman" w:hAnsi="Book Antiqua" w:cs="Calibri"/>
                <w:b/>
                <w:bCs/>
                <w:color w:val="FFFFFF"/>
                <w:sz w:val="18"/>
                <w:szCs w:val="18"/>
                <w:lang w:eastAsia="es-CR"/>
              </w:rPr>
            </w:pPr>
            <w:r w:rsidRPr="00670A64">
              <w:rPr>
                <w:rFonts w:ascii="Book Antiqua" w:eastAsia="Times New Roman" w:hAnsi="Book Antiqua" w:cs="Calibri"/>
                <w:b/>
                <w:bCs/>
                <w:color w:val="FFFFFF"/>
                <w:sz w:val="18"/>
                <w:szCs w:val="18"/>
                <w:lang w:eastAsia="es-CR"/>
              </w:rPr>
              <w:t>Puntarenas</w:t>
            </w:r>
          </w:p>
        </w:tc>
        <w:tc>
          <w:tcPr>
            <w:tcW w:w="0" w:type="auto"/>
            <w:shd w:val="clear" w:color="auto" w:fill="365F91" w:themeFill="accent1" w:themeFillShade="BF"/>
            <w:vAlign w:val="center"/>
            <w:hideMark/>
          </w:tcPr>
          <w:p w14:paraId="0D83A1CC" w14:textId="77777777" w:rsidR="000E1013" w:rsidRPr="00670A64" w:rsidRDefault="000E1013" w:rsidP="000E1013">
            <w:pPr>
              <w:spacing w:after="0" w:line="240" w:lineRule="auto"/>
              <w:jc w:val="center"/>
              <w:rPr>
                <w:rFonts w:ascii="Book Antiqua" w:eastAsia="Times New Roman" w:hAnsi="Book Antiqua" w:cs="Calibri"/>
                <w:b/>
                <w:bCs/>
                <w:color w:val="FFFFFF"/>
                <w:sz w:val="18"/>
                <w:szCs w:val="18"/>
                <w:lang w:eastAsia="es-CR"/>
              </w:rPr>
            </w:pPr>
            <w:r w:rsidRPr="00670A64">
              <w:rPr>
                <w:rFonts w:ascii="Book Antiqua" w:eastAsia="Times New Roman" w:hAnsi="Book Antiqua" w:cs="Calibri"/>
                <w:b/>
                <w:bCs/>
                <w:color w:val="FFFFFF"/>
                <w:sz w:val="18"/>
                <w:szCs w:val="18"/>
                <w:lang w:eastAsia="es-CR"/>
              </w:rPr>
              <w:t>Limón</w:t>
            </w:r>
          </w:p>
        </w:tc>
        <w:tc>
          <w:tcPr>
            <w:tcW w:w="0" w:type="auto"/>
            <w:shd w:val="clear" w:color="auto" w:fill="365F91" w:themeFill="accent1" w:themeFillShade="BF"/>
            <w:vAlign w:val="center"/>
            <w:hideMark/>
          </w:tcPr>
          <w:p w14:paraId="0DE2C835" w14:textId="70DD9BB0" w:rsidR="000E1013" w:rsidRPr="00B7076C" w:rsidRDefault="000E1013" w:rsidP="000E1013">
            <w:pPr>
              <w:spacing w:after="0" w:line="240" w:lineRule="auto"/>
              <w:jc w:val="center"/>
              <w:rPr>
                <w:rFonts w:ascii="Book Antiqua" w:eastAsia="Times New Roman" w:hAnsi="Book Antiqua" w:cs="Calibri"/>
                <w:b/>
                <w:bCs/>
                <w:color w:val="FFFFFF"/>
                <w:sz w:val="18"/>
                <w:szCs w:val="18"/>
                <w:lang w:eastAsia="es-CR"/>
              </w:rPr>
            </w:pPr>
            <w:r w:rsidRPr="00670A64">
              <w:rPr>
                <w:rFonts w:ascii="Book Antiqua" w:eastAsia="Times New Roman" w:hAnsi="Book Antiqua" w:cs="Calibri"/>
                <w:b/>
                <w:bCs/>
                <w:color w:val="FFFFFF"/>
                <w:sz w:val="18"/>
                <w:szCs w:val="18"/>
                <w:lang w:eastAsia="es-CR"/>
              </w:rPr>
              <w:t>T</w:t>
            </w:r>
            <w:r w:rsidR="006A56B4" w:rsidRPr="00EB031E">
              <w:rPr>
                <w:rFonts w:ascii="Book Antiqua" w:eastAsia="Times New Roman" w:hAnsi="Book Antiqua" w:cs="Calibri"/>
                <w:b/>
                <w:bCs/>
                <w:color w:val="FFFFFF"/>
                <w:sz w:val="18"/>
                <w:szCs w:val="18"/>
                <w:lang w:eastAsia="es-CR"/>
              </w:rPr>
              <w:t>otal</w:t>
            </w:r>
          </w:p>
        </w:tc>
      </w:tr>
      <w:tr w:rsidR="00EB031E" w:rsidRPr="00670A64" w14:paraId="721057C4" w14:textId="77777777" w:rsidTr="00EB031E">
        <w:trPr>
          <w:trHeight w:val="300"/>
        </w:trPr>
        <w:tc>
          <w:tcPr>
            <w:tcW w:w="0" w:type="auto"/>
            <w:shd w:val="clear" w:color="000000" w:fill="DCE6F1"/>
            <w:vAlign w:val="center"/>
            <w:hideMark/>
          </w:tcPr>
          <w:p w14:paraId="11131873"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Ordinarios Sector Privado</w:t>
            </w:r>
          </w:p>
        </w:tc>
        <w:tc>
          <w:tcPr>
            <w:tcW w:w="0" w:type="auto"/>
            <w:shd w:val="clear" w:color="000000" w:fill="DCE6F1"/>
            <w:vAlign w:val="center"/>
            <w:hideMark/>
          </w:tcPr>
          <w:p w14:paraId="249DB7BD"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392</w:t>
            </w:r>
          </w:p>
        </w:tc>
        <w:tc>
          <w:tcPr>
            <w:tcW w:w="0" w:type="auto"/>
            <w:shd w:val="clear" w:color="000000" w:fill="DCE6F1"/>
            <w:vAlign w:val="center"/>
            <w:hideMark/>
          </w:tcPr>
          <w:p w14:paraId="519E9DD5"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821</w:t>
            </w:r>
          </w:p>
        </w:tc>
        <w:tc>
          <w:tcPr>
            <w:tcW w:w="0" w:type="auto"/>
            <w:shd w:val="clear" w:color="000000" w:fill="DCE6F1"/>
            <w:vAlign w:val="center"/>
            <w:hideMark/>
          </w:tcPr>
          <w:p w14:paraId="4D19DBDB"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481</w:t>
            </w:r>
          </w:p>
        </w:tc>
        <w:tc>
          <w:tcPr>
            <w:tcW w:w="0" w:type="auto"/>
            <w:shd w:val="clear" w:color="000000" w:fill="DCE6F1"/>
            <w:vAlign w:val="center"/>
            <w:hideMark/>
          </w:tcPr>
          <w:p w14:paraId="7414347A"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637</w:t>
            </w:r>
          </w:p>
        </w:tc>
        <w:tc>
          <w:tcPr>
            <w:tcW w:w="0" w:type="auto"/>
            <w:shd w:val="clear" w:color="000000" w:fill="DCE6F1"/>
            <w:vAlign w:val="center"/>
            <w:hideMark/>
          </w:tcPr>
          <w:p w14:paraId="462E16F1"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514</w:t>
            </w:r>
          </w:p>
        </w:tc>
        <w:tc>
          <w:tcPr>
            <w:tcW w:w="0" w:type="auto"/>
            <w:shd w:val="clear" w:color="000000" w:fill="DCE6F1"/>
            <w:vAlign w:val="center"/>
            <w:hideMark/>
          </w:tcPr>
          <w:p w14:paraId="713307AB"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368</w:t>
            </w:r>
          </w:p>
        </w:tc>
        <w:tc>
          <w:tcPr>
            <w:tcW w:w="0" w:type="auto"/>
            <w:shd w:val="clear" w:color="000000" w:fill="DCE6F1"/>
            <w:vAlign w:val="center"/>
            <w:hideMark/>
          </w:tcPr>
          <w:p w14:paraId="4DBA2F72"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563</w:t>
            </w:r>
          </w:p>
        </w:tc>
        <w:tc>
          <w:tcPr>
            <w:tcW w:w="0" w:type="auto"/>
            <w:shd w:val="clear" w:color="000000" w:fill="DCE6F1"/>
            <w:vAlign w:val="center"/>
            <w:hideMark/>
          </w:tcPr>
          <w:p w14:paraId="7ABAF9DC"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3776</w:t>
            </w:r>
          </w:p>
        </w:tc>
      </w:tr>
      <w:tr w:rsidR="000E1013" w:rsidRPr="00670A64" w14:paraId="5D35EBC6" w14:textId="77777777" w:rsidTr="00EB031E">
        <w:trPr>
          <w:trHeight w:val="310"/>
        </w:trPr>
        <w:tc>
          <w:tcPr>
            <w:tcW w:w="0" w:type="auto"/>
            <w:shd w:val="clear" w:color="auto" w:fill="auto"/>
            <w:vAlign w:val="center"/>
            <w:hideMark/>
          </w:tcPr>
          <w:p w14:paraId="7803FB4D"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Ordinarios Sector Público</w:t>
            </w:r>
          </w:p>
        </w:tc>
        <w:tc>
          <w:tcPr>
            <w:tcW w:w="0" w:type="auto"/>
            <w:shd w:val="clear" w:color="auto" w:fill="auto"/>
            <w:vAlign w:val="center"/>
            <w:hideMark/>
          </w:tcPr>
          <w:p w14:paraId="4BCCB7FA"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43</w:t>
            </w:r>
          </w:p>
        </w:tc>
        <w:tc>
          <w:tcPr>
            <w:tcW w:w="0" w:type="auto"/>
            <w:shd w:val="clear" w:color="auto" w:fill="auto"/>
            <w:vAlign w:val="center"/>
            <w:hideMark/>
          </w:tcPr>
          <w:p w14:paraId="07BAC72B"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572</w:t>
            </w:r>
          </w:p>
        </w:tc>
        <w:tc>
          <w:tcPr>
            <w:tcW w:w="0" w:type="auto"/>
            <w:shd w:val="clear" w:color="auto" w:fill="auto"/>
            <w:vAlign w:val="center"/>
            <w:hideMark/>
          </w:tcPr>
          <w:p w14:paraId="23776BD4"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584</w:t>
            </w:r>
          </w:p>
        </w:tc>
        <w:tc>
          <w:tcPr>
            <w:tcW w:w="0" w:type="auto"/>
            <w:shd w:val="clear" w:color="auto" w:fill="auto"/>
            <w:vAlign w:val="center"/>
            <w:hideMark/>
          </w:tcPr>
          <w:p w14:paraId="37706820"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485</w:t>
            </w:r>
          </w:p>
        </w:tc>
        <w:tc>
          <w:tcPr>
            <w:tcW w:w="0" w:type="auto"/>
            <w:shd w:val="clear" w:color="auto" w:fill="auto"/>
            <w:vAlign w:val="center"/>
            <w:hideMark/>
          </w:tcPr>
          <w:p w14:paraId="6E5771BC"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144</w:t>
            </w:r>
          </w:p>
        </w:tc>
        <w:tc>
          <w:tcPr>
            <w:tcW w:w="0" w:type="auto"/>
            <w:shd w:val="clear" w:color="auto" w:fill="auto"/>
            <w:vAlign w:val="center"/>
            <w:hideMark/>
          </w:tcPr>
          <w:p w14:paraId="2BB31888"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78</w:t>
            </w:r>
          </w:p>
        </w:tc>
        <w:tc>
          <w:tcPr>
            <w:tcW w:w="0" w:type="auto"/>
            <w:shd w:val="clear" w:color="auto" w:fill="auto"/>
            <w:vAlign w:val="center"/>
            <w:hideMark/>
          </w:tcPr>
          <w:p w14:paraId="10C0EE27"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69</w:t>
            </w:r>
          </w:p>
        </w:tc>
        <w:tc>
          <w:tcPr>
            <w:tcW w:w="0" w:type="auto"/>
            <w:shd w:val="clear" w:color="auto" w:fill="auto"/>
            <w:vAlign w:val="center"/>
            <w:hideMark/>
          </w:tcPr>
          <w:p w14:paraId="547D125A"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1975</w:t>
            </w:r>
          </w:p>
        </w:tc>
      </w:tr>
      <w:tr w:rsidR="00EB031E" w:rsidRPr="00670A64" w14:paraId="4B0135A8" w14:textId="77777777" w:rsidTr="00EB031E">
        <w:trPr>
          <w:trHeight w:val="310"/>
        </w:trPr>
        <w:tc>
          <w:tcPr>
            <w:tcW w:w="0" w:type="auto"/>
            <w:shd w:val="clear" w:color="000000" w:fill="DCE6F1"/>
            <w:vAlign w:val="center"/>
            <w:hideMark/>
          </w:tcPr>
          <w:p w14:paraId="78A2E60A"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Seguridad Social</w:t>
            </w:r>
          </w:p>
        </w:tc>
        <w:tc>
          <w:tcPr>
            <w:tcW w:w="0" w:type="auto"/>
            <w:shd w:val="clear" w:color="000000" w:fill="DCE6F1"/>
            <w:vAlign w:val="center"/>
            <w:hideMark/>
          </w:tcPr>
          <w:p w14:paraId="1C60090B"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148</w:t>
            </w:r>
          </w:p>
        </w:tc>
        <w:tc>
          <w:tcPr>
            <w:tcW w:w="0" w:type="auto"/>
            <w:shd w:val="clear" w:color="000000" w:fill="DCE6F1"/>
            <w:vAlign w:val="center"/>
            <w:hideMark/>
          </w:tcPr>
          <w:p w14:paraId="2B47A4C4"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394</w:t>
            </w:r>
          </w:p>
        </w:tc>
        <w:tc>
          <w:tcPr>
            <w:tcW w:w="0" w:type="auto"/>
            <w:shd w:val="clear" w:color="000000" w:fill="DCE6F1"/>
            <w:vAlign w:val="center"/>
            <w:hideMark/>
          </w:tcPr>
          <w:p w14:paraId="7688CEC3"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212</w:t>
            </w:r>
          </w:p>
        </w:tc>
        <w:tc>
          <w:tcPr>
            <w:tcW w:w="0" w:type="auto"/>
            <w:shd w:val="clear" w:color="000000" w:fill="DCE6F1"/>
            <w:vAlign w:val="center"/>
            <w:hideMark/>
          </w:tcPr>
          <w:p w14:paraId="79710DB1"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189</w:t>
            </w:r>
          </w:p>
        </w:tc>
        <w:tc>
          <w:tcPr>
            <w:tcW w:w="0" w:type="auto"/>
            <w:shd w:val="clear" w:color="000000" w:fill="DCE6F1"/>
            <w:vAlign w:val="center"/>
            <w:hideMark/>
          </w:tcPr>
          <w:p w14:paraId="01272D13"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121</w:t>
            </w:r>
          </w:p>
        </w:tc>
        <w:tc>
          <w:tcPr>
            <w:tcW w:w="0" w:type="auto"/>
            <w:shd w:val="clear" w:color="000000" w:fill="DCE6F1"/>
            <w:vAlign w:val="center"/>
            <w:hideMark/>
          </w:tcPr>
          <w:p w14:paraId="56F8E96C"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177</w:t>
            </w:r>
          </w:p>
        </w:tc>
        <w:tc>
          <w:tcPr>
            <w:tcW w:w="0" w:type="auto"/>
            <w:shd w:val="clear" w:color="000000" w:fill="DCE6F1"/>
            <w:vAlign w:val="center"/>
            <w:hideMark/>
          </w:tcPr>
          <w:p w14:paraId="261FC4EE"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371</w:t>
            </w:r>
          </w:p>
        </w:tc>
        <w:tc>
          <w:tcPr>
            <w:tcW w:w="0" w:type="auto"/>
            <w:shd w:val="clear" w:color="000000" w:fill="DCE6F1"/>
            <w:vAlign w:val="center"/>
            <w:hideMark/>
          </w:tcPr>
          <w:p w14:paraId="2BD2A498"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1612</w:t>
            </w:r>
          </w:p>
        </w:tc>
      </w:tr>
      <w:tr w:rsidR="000E1013" w:rsidRPr="00670A64" w14:paraId="3902130A" w14:textId="77777777" w:rsidTr="00EB031E">
        <w:trPr>
          <w:trHeight w:val="310"/>
        </w:trPr>
        <w:tc>
          <w:tcPr>
            <w:tcW w:w="0" w:type="auto"/>
            <w:shd w:val="clear" w:color="auto" w:fill="auto"/>
            <w:vAlign w:val="center"/>
            <w:hideMark/>
          </w:tcPr>
          <w:p w14:paraId="08745117"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Otros procesos</w:t>
            </w:r>
          </w:p>
        </w:tc>
        <w:tc>
          <w:tcPr>
            <w:tcW w:w="0" w:type="auto"/>
            <w:shd w:val="clear" w:color="auto" w:fill="auto"/>
            <w:vAlign w:val="center"/>
            <w:hideMark/>
          </w:tcPr>
          <w:p w14:paraId="715797C6"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65</w:t>
            </w:r>
          </w:p>
        </w:tc>
        <w:tc>
          <w:tcPr>
            <w:tcW w:w="0" w:type="auto"/>
            <w:shd w:val="clear" w:color="auto" w:fill="auto"/>
            <w:vAlign w:val="center"/>
            <w:hideMark/>
          </w:tcPr>
          <w:p w14:paraId="48667E84"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83</w:t>
            </w:r>
          </w:p>
        </w:tc>
        <w:tc>
          <w:tcPr>
            <w:tcW w:w="0" w:type="auto"/>
            <w:shd w:val="clear" w:color="auto" w:fill="auto"/>
            <w:vAlign w:val="center"/>
            <w:hideMark/>
          </w:tcPr>
          <w:p w14:paraId="1F1063E6"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100</w:t>
            </w:r>
          </w:p>
        </w:tc>
        <w:tc>
          <w:tcPr>
            <w:tcW w:w="0" w:type="auto"/>
            <w:shd w:val="clear" w:color="auto" w:fill="auto"/>
            <w:vAlign w:val="center"/>
            <w:hideMark/>
          </w:tcPr>
          <w:p w14:paraId="52D52F24"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33</w:t>
            </w:r>
          </w:p>
        </w:tc>
        <w:tc>
          <w:tcPr>
            <w:tcW w:w="0" w:type="auto"/>
            <w:shd w:val="clear" w:color="auto" w:fill="auto"/>
            <w:vAlign w:val="center"/>
            <w:hideMark/>
          </w:tcPr>
          <w:p w14:paraId="577E67F2"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46</w:t>
            </w:r>
          </w:p>
        </w:tc>
        <w:tc>
          <w:tcPr>
            <w:tcW w:w="0" w:type="auto"/>
            <w:shd w:val="clear" w:color="auto" w:fill="auto"/>
            <w:vAlign w:val="center"/>
            <w:hideMark/>
          </w:tcPr>
          <w:p w14:paraId="27669006"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84</w:t>
            </w:r>
          </w:p>
        </w:tc>
        <w:tc>
          <w:tcPr>
            <w:tcW w:w="0" w:type="auto"/>
            <w:shd w:val="clear" w:color="auto" w:fill="auto"/>
            <w:vAlign w:val="center"/>
            <w:hideMark/>
          </w:tcPr>
          <w:p w14:paraId="24AFF93E"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105</w:t>
            </w:r>
          </w:p>
        </w:tc>
        <w:tc>
          <w:tcPr>
            <w:tcW w:w="0" w:type="auto"/>
            <w:shd w:val="clear" w:color="auto" w:fill="auto"/>
            <w:vAlign w:val="center"/>
            <w:hideMark/>
          </w:tcPr>
          <w:p w14:paraId="0DF988CF"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516</w:t>
            </w:r>
          </w:p>
        </w:tc>
      </w:tr>
      <w:tr w:rsidR="00EB031E" w:rsidRPr="00670A64" w14:paraId="76BDA1AC" w14:textId="77777777" w:rsidTr="00EB031E">
        <w:trPr>
          <w:trHeight w:val="310"/>
        </w:trPr>
        <w:tc>
          <w:tcPr>
            <w:tcW w:w="0" w:type="auto"/>
            <w:shd w:val="clear" w:color="000000" w:fill="DCE6F1"/>
            <w:vAlign w:val="center"/>
            <w:hideMark/>
          </w:tcPr>
          <w:p w14:paraId="1FA1360F"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Otros asuntos</w:t>
            </w:r>
          </w:p>
        </w:tc>
        <w:tc>
          <w:tcPr>
            <w:tcW w:w="0" w:type="auto"/>
            <w:shd w:val="clear" w:color="000000" w:fill="DCE6F1"/>
            <w:vAlign w:val="center"/>
            <w:hideMark/>
          </w:tcPr>
          <w:p w14:paraId="06A3A59C"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18</w:t>
            </w:r>
          </w:p>
        </w:tc>
        <w:tc>
          <w:tcPr>
            <w:tcW w:w="0" w:type="auto"/>
            <w:shd w:val="clear" w:color="000000" w:fill="DCE6F1"/>
            <w:vAlign w:val="center"/>
            <w:hideMark/>
          </w:tcPr>
          <w:p w14:paraId="4F150213"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26</w:t>
            </w:r>
          </w:p>
        </w:tc>
        <w:tc>
          <w:tcPr>
            <w:tcW w:w="0" w:type="auto"/>
            <w:shd w:val="clear" w:color="000000" w:fill="DCE6F1"/>
            <w:vAlign w:val="center"/>
            <w:hideMark/>
          </w:tcPr>
          <w:p w14:paraId="73FD79C7"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18</w:t>
            </w:r>
          </w:p>
        </w:tc>
        <w:tc>
          <w:tcPr>
            <w:tcW w:w="0" w:type="auto"/>
            <w:shd w:val="clear" w:color="000000" w:fill="DCE6F1"/>
            <w:vAlign w:val="center"/>
            <w:hideMark/>
          </w:tcPr>
          <w:p w14:paraId="5E35B031"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16</w:t>
            </w:r>
          </w:p>
        </w:tc>
        <w:tc>
          <w:tcPr>
            <w:tcW w:w="0" w:type="auto"/>
            <w:shd w:val="clear" w:color="000000" w:fill="DCE6F1"/>
            <w:vAlign w:val="center"/>
            <w:hideMark/>
          </w:tcPr>
          <w:p w14:paraId="4CB52D07"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12</w:t>
            </w:r>
          </w:p>
        </w:tc>
        <w:tc>
          <w:tcPr>
            <w:tcW w:w="0" w:type="auto"/>
            <w:shd w:val="clear" w:color="000000" w:fill="DCE6F1"/>
            <w:vAlign w:val="center"/>
            <w:hideMark/>
          </w:tcPr>
          <w:p w14:paraId="5D8D4E97"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8</w:t>
            </w:r>
          </w:p>
        </w:tc>
        <w:tc>
          <w:tcPr>
            <w:tcW w:w="0" w:type="auto"/>
            <w:shd w:val="clear" w:color="000000" w:fill="DCE6F1"/>
            <w:vAlign w:val="center"/>
            <w:hideMark/>
          </w:tcPr>
          <w:p w14:paraId="110CEA06"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13</w:t>
            </w:r>
          </w:p>
        </w:tc>
        <w:tc>
          <w:tcPr>
            <w:tcW w:w="0" w:type="auto"/>
            <w:shd w:val="clear" w:color="000000" w:fill="DCE6F1"/>
            <w:vAlign w:val="center"/>
            <w:hideMark/>
          </w:tcPr>
          <w:p w14:paraId="377AA2A0"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111</w:t>
            </w:r>
          </w:p>
        </w:tc>
      </w:tr>
      <w:tr w:rsidR="000E1013" w:rsidRPr="00670A64" w14:paraId="0C0DE0BD" w14:textId="77777777" w:rsidTr="00EB031E">
        <w:trPr>
          <w:trHeight w:val="310"/>
        </w:trPr>
        <w:tc>
          <w:tcPr>
            <w:tcW w:w="0" w:type="auto"/>
            <w:shd w:val="clear" w:color="auto" w:fill="auto"/>
            <w:vAlign w:val="center"/>
            <w:hideMark/>
          </w:tcPr>
          <w:p w14:paraId="63F0439C"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Protección en fueros especiales y tutela del debido proceso</w:t>
            </w:r>
          </w:p>
        </w:tc>
        <w:tc>
          <w:tcPr>
            <w:tcW w:w="0" w:type="auto"/>
            <w:shd w:val="clear" w:color="auto" w:fill="auto"/>
            <w:vAlign w:val="center"/>
            <w:hideMark/>
          </w:tcPr>
          <w:p w14:paraId="135EA8E4"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w:t>
            </w:r>
          </w:p>
        </w:tc>
        <w:tc>
          <w:tcPr>
            <w:tcW w:w="0" w:type="auto"/>
            <w:shd w:val="clear" w:color="auto" w:fill="auto"/>
            <w:vAlign w:val="center"/>
            <w:hideMark/>
          </w:tcPr>
          <w:p w14:paraId="3181F7EA"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37</w:t>
            </w:r>
          </w:p>
        </w:tc>
        <w:tc>
          <w:tcPr>
            <w:tcW w:w="0" w:type="auto"/>
            <w:shd w:val="clear" w:color="auto" w:fill="auto"/>
            <w:vAlign w:val="center"/>
            <w:hideMark/>
          </w:tcPr>
          <w:p w14:paraId="6210919D"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8</w:t>
            </w:r>
          </w:p>
        </w:tc>
        <w:tc>
          <w:tcPr>
            <w:tcW w:w="0" w:type="auto"/>
            <w:shd w:val="clear" w:color="auto" w:fill="auto"/>
            <w:vAlign w:val="center"/>
            <w:hideMark/>
          </w:tcPr>
          <w:p w14:paraId="30AF2A6C"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30</w:t>
            </w:r>
          </w:p>
        </w:tc>
        <w:tc>
          <w:tcPr>
            <w:tcW w:w="0" w:type="auto"/>
            <w:shd w:val="clear" w:color="auto" w:fill="auto"/>
            <w:vAlign w:val="center"/>
            <w:hideMark/>
          </w:tcPr>
          <w:p w14:paraId="4AFB4AC6"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20</w:t>
            </w:r>
          </w:p>
        </w:tc>
        <w:tc>
          <w:tcPr>
            <w:tcW w:w="0" w:type="auto"/>
            <w:shd w:val="clear" w:color="auto" w:fill="auto"/>
            <w:vAlign w:val="center"/>
            <w:hideMark/>
          </w:tcPr>
          <w:p w14:paraId="25706A18"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10</w:t>
            </w:r>
          </w:p>
        </w:tc>
        <w:tc>
          <w:tcPr>
            <w:tcW w:w="0" w:type="auto"/>
            <w:shd w:val="clear" w:color="auto" w:fill="auto"/>
            <w:vAlign w:val="center"/>
            <w:hideMark/>
          </w:tcPr>
          <w:p w14:paraId="64A2DE3A"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24</w:t>
            </w:r>
          </w:p>
        </w:tc>
        <w:tc>
          <w:tcPr>
            <w:tcW w:w="0" w:type="auto"/>
            <w:shd w:val="clear" w:color="auto" w:fill="auto"/>
            <w:vAlign w:val="center"/>
            <w:hideMark/>
          </w:tcPr>
          <w:p w14:paraId="57344A29"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135</w:t>
            </w:r>
          </w:p>
        </w:tc>
      </w:tr>
      <w:tr w:rsidR="00EB031E" w:rsidRPr="00670A64" w14:paraId="16AD2EDB" w14:textId="77777777" w:rsidTr="00EB031E">
        <w:trPr>
          <w:trHeight w:val="310"/>
        </w:trPr>
        <w:tc>
          <w:tcPr>
            <w:tcW w:w="0" w:type="auto"/>
            <w:shd w:val="clear" w:color="000000" w:fill="DCE6F1"/>
            <w:vAlign w:val="center"/>
            <w:hideMark/>
          </w:tcPr>
          <w:p w14:paraId="0B735DF9"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Incidentes</w:t>
            </w:r>
          </w:p>
        </w:tc>
        <w:tc>
          <w:tcPr>
            <w:tcW w:w="0" w:type="auto"/>
            <w:shd w:val="clear" w:color="000000" w:fill="DCE6F1"/>
            <w:vAlign w:val="center"/>
            <w:hideMark/>
          </w:tcPr>
          <w:p w14:paraId="63E8CC7B"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9</w:t>
            </w:r>
          </w:p>
        </w:tc>
        <w:tc>
          <w:tcPr>
            <w:tcW w:w="0" w:type="auto"/>
            <w:shd w:val="clear" w:color="000000" w:fill="DCE6F1"/>
            <w:vAlign w:val="center"/>
            <w:hideMark/>
          </w:tcPr>
          <w:p w14:paraId="74F97F45"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38</w:t>
            </w:r>
          </w:p>
        </w:tc>
        <w:tc>
          <w:tcPr>
            <w:tcW w:w="0" w:type="auto"/>
            <w:shd w:val="clear" w:color="000000" w:fill="DCE6F1"/>
            <w:vAlign w:val="center"/>
            <w:hideMark/>
          </w:tcPr>
          <w:p w14:paraId="22946C2F"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27</w:t>
            </w:r>
          </w:p>
        </w:tc>
        <w:tc>
          <w:tcPr>
            <w:tcW w:w="0" w:type="auto"/>
            <w:shd w:val="clear" w:color="000000" w:fill="DCE6F1"/>
            <w:vAlign w:val="center"/>
            <w:hideMark/>
          </w:tcPr>
          <w:p w14:paraId="33071321"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22</w:t>
            </w:r>
          </w:p>
        </w:tc>
        <w:tc>
          <w:tcPr>
            <w:tcW w:w="0" w:type="auto"/>
            <w:shd w:val="clear" w:color="000000" w:fill="DCE6F1"/>
            <w:vAlign w:val="center"/>
            <w:hideMark/>
          </w:tcPr>
          <w:p w14:paraId="31759A7A"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15</w:t>
            </w:r>
          </w:p>
        </w:tc>
        <w:tc>
          <w:tcPr>
            <w:tcW w:w="0" w:type="auto"/>
            <w:shd w:val="clear" w:color="000000" w:fill="DCE6F1"/>
            <w:vAlign w:val="center"/>
            <w:hideMark/>
          </w:tcPr>
          <w:p w14:paraId="07B40AB9"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41</w:t>
            </w:r>
          </w:p>
        </w:tc>
        <w:tc>
          <w:tcPr>
            <w:tcW w:w="0" w:type="auto"/>
            <w:shd w:val="clear" w:color="000000" w:fill="DCE6F1"/>
            <w:vAlign w:val="center"/>
            <w:hideMark/>
          </w:tcPr>
          <w:p w14:paraId="210C0ADD"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13</w:t>
            </w:r>
          </w:p>
        </w:tc>
        <w:tc>
          <w:tcPr>
            <w:tcW w:w="0" w:type="auto"/>
            <w:shd w:val="clear" w:color="000000" w:fill="DCE6F1"/>
            <w:vAlign w:val="center"/>
            <w:hideMark/>
          </w:tcPr>
          <w:p w14:paraId="660987D7"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165</w:t>
            </w:r>
          </w:p>
        </w:tc>
      </w:tr>
      <w:tr w:rsidR="000E1013" w:rsidRPr="00670A64" w14:paraId="42C3B84E" w14:textId="77777777" w:rsidTr="00EB031E">
        <w:trPr>
          <w:trHeight w:val="310"/>
        </w:trPr>
        <w:tc>
          <w:tcPr>
            <w:tcW w:w="0" w:type="auto"/>
            <w:shd w:val="clear" w:color="auto" w:fill="auto"/>
            <w:vAlign w:val="center"/>
            <w:hideMark/>
          </w:tcPr>
          <w:p w14:paraId="0CEB42AE"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Procesos Colectivos</w:t>
            </w:r>
          </w:p>
        </w:tc>
        <w:tc>
          <w:tcPr>
            <w:tcW w:w="0" w:type="auto"/>
            <w:shd w:val="clear" w:color="auto" w:fill="auto"/>
            <w:vAlign w:val="center"/>
            <w:hideMark/>
          </w:tcPr>
          <w:p w14:paraId="3869CCC0"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w:t>
            </w:r>
          </w:p>
        </w:tc>
        <w:tc>
          <w:tcPr>
            <w:tcW w:w="0" w:type="auto"/>
            <w:shd w:val="clear" w:color="auto" w:fill="auto"/>
            <w:vAlign w:val="center"/>
            <w:hideMark/>
          </w:tcPr>
          <w:p w14:paraId="4DE0BCCA"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w:t>
            </w:r>
          </w:p>
        </w:tc>
        <w:tc>
          <w:tcPr>
            <w:tcW w:w="0" w:type="auto"/>
            <w:shd w:val="clear" w:color="auto" w:fill="auto"/>
            <w:vAlign w:val="center"/>
            <w:hideMark/>
          </w:tcPr>
          <w:p w14:paraId="41B75F75"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7</w:t>
            </w:r>
          </w:p>
        </w:tc>
        <w:tc>
          <w:tcPr>
            <w:tcW w:w="0" w:type="auto"/>
            <w:shd w:val="clear" w:color="auto" w:fill="auto"/>
            <w:vAlign w:val="center"/>
            <w:hideMark/>
          </w:tcPr>
          <w:p w14:paraId="32D5EFAF"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w:t>
            </w:r>
          </w:p>
        </w:tc>
        <w:tc>
          <w:tcPr>
            <w:tcW w:w="0" w:type="auto"/>
            <w:shd w:val="clear" w:color="auto" w:fill="auto"/>
            <w:vAlign w:val="center"/>
            <w:hideMark/>
          </w:tcPr>
          <w:p w14:paraId="5458E0CB"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7</w:t>
            </w:r>
          </w:p>
        </w:tc>
        <w:tc>
          <w:tcPr>
            <w:tcW w:w="0" w:type="auto"/>
            <w:shd w:val="clear" w:color="auto" w:fill="auto"/>
            <w:vAlign w:val="center"/>
            <w:hideMark/>
          </w:tcPr>
          <w:p w14:paraId="70B4ABE0"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w:t>
            </w:r>
          </w:p>
        </w:tc>
        <w:tc>
          <w:tcPr>
            <w:tcW w:w="0" w:type="auto"/>
            <w:shd w:val="clear" w:color="auto" w:fill="auto"/>
            <w:vAlign w:val="center"/>
            <w:hideMark/>
          </w:tcPr>
          <w:p w14:paraId="5E32B24D"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w:t>
            </w:r>
          </w:p>
        </w:tc>
        <w:tc>
          <w:tcPr>
            <w:tcW w:w="0" w:type="auto"/>
            <w:shd w:val="clear" w:color="auto" w:fill="auto"/>
            <w:vAlign w:val="center"/>
            <w:hideMark/>
          </w:tcPr>
          <w:p w14:paraId="59EF0C9D" w14:textId="77777777" w:rsidR="000E1013" w:rsidRPr="00EB031E" w:rsidRDefault="000E1013" w:rsidP="000E101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26</w:t>
            </w:r>
          </w:p>
        </w:tc>
      </w:tr>
      <w:tr w:rsidR="006A56B4" w:rsidRPr="00670A64" w14:paraId="105D538F" w14:textId="77777777" w:rsidTr="00C55D98">
        <w:trPr>
          <w:trHeight w:val="310"/>
        </w:trPr>
        <w:tc>
          <w:tcPr>
            <w:tcW w:w="0" w:type="auto"/>
            <w:shd w:val="clear" w:color="auto" w:fill="DBE5F1" w:themeFill="accent1" w:themeFillTint="33"/>
            <w:vAlign w:val="center"/>
          </w:tcPr>
          <w:p w14:paraId="698256EF" w14:textId="32B2DFCF" w:rsidR="000E1013" w:rsidRPr="00EB031E" w:rsidRDefault="00A46807" w:rsidP="000E101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Procesos especiales</w:t>
            </w:r>
          </w:p>
        </w:tc>
        <w:tc>
          <w:tcPr>
            <w:tcW w:w="0" w:type="auto"/>
            <w:shd w:val="clear" w:color="000000" w:fill="DCE6F1"/>
            <w:vAlign w:val="center"/>
          </w:tcPr>
          <w:p w14:paraId="484DFD6B" w14:textId="1340D4DB" w:rsidR="000E1013" w:rsidRPr="00EB031E" w:rsidRDefault="00A46807" w:rsidP="000E101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0</w:t>
            </w:r>
          </w:p>
        </w:tc>
        <w:tc>
          <w:tcPr>
            <w:tcW w:w="0" w:type="auto"/>
            <w:shd w:val="clear" w:color="000000" w:fill="DCE6F1"/>
            <w:vAlign w:val="center"/>
          </w:tcPr>
          <w:p w14:paraId="72FFCF9B" w14:textId="39328211" w:rsidR="000E1013" w:rsidRPr="00EB031E" w:rsidRDefault="00A46807" w:rsidP="000E101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0</w:t>
            </w:r>
          </w:p>
        </w:tc>
        <w:tc>
          <w:tcPr>
            <w:tcW w:w="0" w:type="auto"/>
            <w:shd w:val="clear" w:color="000000" w:fill="DCE6F1"/>
            <w:vAlign w:val="center"/>
          </w:tcPr>
          <w:p w14:paraId="5ACC5010" w14:textId="61B49BF8" w:rsidR="000E1013" w:rsidRPr="00EB031E" w:rsidRDefault="00A46807" w:rsidP="000E101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0</w:t>
            </w:r>
          </w:p>
        </w:tc>
        <w:tc>
          <w:tcPr>
            <w:tcW w:w="0" w:type="auto"/>
            <w:shd w:val="clear" w:color="000000" w:fill="DCE6F1"/>
            <w:vAlign w:val="center"/>
          </w:tcPr>
          <w:p w14:paraId="6B285F3C" w14:textId="68D0521B" w:rsidR="000E1013" w:rsidRPr="00EB031E" w:rsidRDefault="00A46807" w:rsidP="000E101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3</w:t>
            </w:r>
          </w:p>
        </w:tc>
        <w:tc>
          <w:tcPr>
            <w:tcW w:w="0" w:type="auto"/>
            <w:shd w:val="clear" w:color="000000" w:fill="DCE6F1"/>
            <w:vAlign w:val="center"/>
          </w:tcPr>
          <w:p w14:paraId="06DA7072" w14:textId="1AEACDEC" w:rsidR="000E1013" w:rsidRPr="00EB031E" w:rsidRDefault="00A46807" w:rsidP="000E101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0</w:t>
            </w:r>
          </w:p>
        </w:tc>
        <w:tc>
          <w:tcPr>
            <w:tcW w:w="0" w:type="auto"/>
            <w:shd w:val="clear" w:color="000000" w:fill="DCE6F1"/>
            <w:vAlign w:val="center"/>
          </w:tcPr>
          <w:p w14:paraId="05186B68" w14:textId="3CEA90BB" w:rsidR="000E1013" w:rsidRPr="00EB031E" w:rsidRDefault="00A46807" w:rsidP="000E101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0</w:t>
            </w:r>
          </w:p>
        </w:tc>
        <w:tc>
          <w:tcPr>
            <w:tcW w:w="0" w:type="auto"/>
            <w:shd w:val="clear" w:color="000000" w:fill="DCE6F1"/>
            <w:vAlign w:val="center"/>
          </w:tcPr>
          <w:p w14:paraId="14DD2BC8" w14:textId="0DBF200B" w:rsidR="000E1013" w:rsidRPr="00EB031E" w:rsidRDefault="00A46807" w:rsidP="000E101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0</w:t>
            </w:r>
          </w:p>
        </w:tc>
        <w:tc>
          <w:tcPr>
            <w:tcW w:w="0" w:type="auto"/>
            <w:shd w:val="clear" w:color="000000" w:fill="DCE6F1"/>
            <w:vAlign w:val="center"/>
          </w:tcPr>
          <w:p w14:paraId="03E55793" w14:textId="783CEBC2" w:rsidR="000E1013" w:rsidRPr="00EB031E" w:rsidRDefault="00A46807" w:rsidP="000E101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3</w:t>
            </w:r>
          </w:p>
        </w:tc>
      </w:tr>
      <w:tr w:rsidR="00670A64" w:rsidRPr="00670A64" w14:paraId="3A16013A" w14:textId="77777777" w:rsidTr="006A56B4">
        <w:trPr>
          <w:trHeight w:val="310"/>
        </w:trPr>
        <w:tc>
          <w:tcPr>
            <w:tcW w:w="0" w:type="auto"/>
            <w:shd w:val="clear" w:color="auto" w:fill="365F91" w:themeFill="accent1" w:themeFillShade="BF"/>
            <w:vAlign w:val="center"/>
          </w:tcPr>
          <w:p w14:paraId="149C7932" w14:textId="2E795841" w:rsidR="00C55D98" w:rsidRPr="00EB031E" w:rsidRDefault="00C55D98" w:rsidP="00C55D98">
            <w:pPr>
              <w:spacing w:after="0" w:line="240" w:lineRule="auto"/>
              <w:jc w:val="center"/>
              <w:rPr>
                <w:rFonts w:ascii="Book Antiqua" w:eastAsia="Times New Roman" w:hAnsi="Book Antiqua" w:cs="Calibri"/>
                <w:b/>
                <w:bCs/>
                <w:color w:val="FFFFFF" w:themeColor="background1"/>
                <w:sz w:val="18"/>
                <w:szCs w:val="18"/>
                <w:u w:val="single"/>
                <w:lang w:eastAsia="es-CR"/>
              </w:rPr>
            </w:pPr>
            <w:r w:rsidRPr="00EB031E">
              <w:rPr>
                <w:rFonts w:ascii="Book Antiqua" w:eastAsia="Times New Roman" w:hAnsi="Book Antiqua" w:cs="Calibri"/>
                <w:b/>
                <w:bCs/>
                <w:color w:val="FFFFFF" w:themeColor="background1"/>
                <w:sz w:val="18"/>
                <w:szCs w:val="18"/>
                <w:u w:val="single"/>
                <w:lang w:eastAsia="es-CR"/>
              </w:rPr>
              <w:t>Total</w:t>
            </w:r>
          </w:p>
        </w:tc>
        <w:tc>
          <w:tcPr>
            <w:tcW w:w="0" w:type="auto"/>
            <w:shd w:val="clear" w:color="auto" w:fill="365F91" w:themeFill="accent1" w:themeFillShade="BF"/>
            <w:vAlign w:val="center"/>
          </w:tcPr>
          <w:p w14:paraId="51E221D8" w14:textId="003B72D5" w:rsidR="00C55D98" w:rsidRPr="00EB031E" w:rsidRDefault="00C55D98" w:rsidP="00C55D98">
            <w:pPr>
              <w:spacing w:after="0" w:line="240" w:lineRule="auto"/>
              <w:jc w:val="center"/>
              <w:rPr>
                <w:rFonts w:ascii="Book Antiqua" w:eastAsia="Times New Roman" w:hAnsi="Book Antiqua" w:cs="Calibri"/>
                <w:b/>
                <w:bCs/>
                <w:color w:val="FFFFFF" w:themeColor="background1"/>
                <w:sz w:val="18"/>
                <w:szCs w:val="18"/>
                <w:u w:val="single"/>
                <w:lang w:eastAsia="es-CR"/>
              </w:rPr>
            </w:pPr>
            <w:r w:rsidRPr="00EB031E">
              <w:rPr>
                <w:rFonts w:ascii="Book Antiqua" w:eastAsia="Times New Roman" w:hAnsi="Book Antiqua" w:cs="Calibri"/>
                <w:b/>
                <w:bCs/>
                <w:color w:val="FFFFFF" w:themeColor="background1"/>
                <w:sz w:val="18"/>
                <w:szCs w:val="18"/>
                <w:u w:val="single"/>
                <w:lang w:eastAsia="es-CR"/>
              </w:rPr>
              <w:t>682</w:t>
            </w:r>
          </w:p>
        </w:tc>
        <w:tc>
          <w:tcPr>
            <w:tcW w:w="0" w:type="auto"/>
            <w:shd w:val="clear" w:color="auto" w:fill="365F91" w:themeFill="accent1" w:themeFillShade="BF"/>
            <w:vAlign w:val="center"/>
          </w:tcPr>
          <w:p w14:paraId="6B393B86" w14:textId="03B11838" w:rsidR="00C55D98" w:rsidRPr="00EB031E" w:rsidRDefault="00C55D98" w:rsidP="00C55D98">
            <w:pPr>
              <w:spacing w:after="0" w:line="240" w:lineRule="auto"/>
              <w:jc w:val="center"/>
              <w:rPr>
                <w:rFonts w:ascii="Book Antiqua" w:eastAsia="Times New Roman" w:hAnsi="Book Antiqua" w:cs="Calibri"/>
                <w:b/>
                <w:bCs/>
                <w:color w:val="FFFFFF" w:themeColor="background1"/>
                <w:sz w:val="18"/>
                <w:szCs w:val="18"/>
                <w:u w:val="single"/>
                <w:lang w:eastAsia="es-CR"/>
              </w:rPr>
            </w:pPr>
            <w:r w:rsidRPr="00EB031E">
              <w:rPr>
                <w:rFonts w:ascii="Book Antiqua" w:eastAsia="Times New Roman" w:hAnsi="Book Antiqua" w:cs="Calibri"/>
                <w:b/>
                <w:bCs/>
                <w:color w:val="FFFFFF" w:themeColor="background1"/>
                <w:sz w:val="18"/>
                <w:szCs w:val="18"/>
                <w:u w:val="single"/>
                <w:lang w:eastAsia="es-CR"/>
              </w:rPr>
              <w:t>1974</w:t>
            </w:r>
          </w:p>
        </w:tc>
        <w:tc>
          <w:tcPr>
            <w:tcW w:w="0" w:type="auto"/>
            <w:shd w:val="clear" w:color="auto" w:fill="365F91" w:themeFill="accent1" w:themeFillShade="BF"/>
            <w:vAlign w:val="center"/>
          </w:tcPr>
          <w:p w14:paraId="0DAD7EA4" w14:textId="3BFAD0B8" w:rsidR="00C55D98" w:rsidRPr="00EB031E" w:rsidRDefault="00C55D98" w:rsidP="00C55D98">
            <w:pPr>
              <w:spacing w:after="0" w:line="240" w:lineRule="auto"/>
              <w:jc w:val="center"/>
              <w:rPr>
                <w:rFonts w:ascii="Book Antiqua" w:eastAsia="Times New Roman" w:hAnsi="Book Antiqua" w:cs="Calibri"/>
                <w:b/>
                <w:bCs/>
                <w:color w:val="FFFFFF" w:themeColor="background1"/>
                <w:sz w:val="18"/>
                <w:szCs w:val="18"/>
                <w:u w:val="single"/>
                <w:lang w:eastAsia="es-CR"/>
              </w:rPr>
            </w:pPr>
            <w:r w:rsidRPr="00EB031E">
              <w:rPr>
                <w:rFonts w:ascii="Book Antiqua" w:eastAsia="Times New Roman" w:hAnsi="Book Antiqua" w:cs="Calibri"/>
                <w:b/>
                <w:bCs/>
                <w:color w:val="FFFFFF" w:themeColor="background1"/>
                <w:sz w:val="18"/>
                <w:szCs w:val="18"/>
                <w:u w:val="single"/>
                <w:lang w:eastAsia="es-CR"/>
              </w:rPr>
              <w:t>1437</w:t>
            </w:r>
          </w:p>
        </w:tc>
        <w:tc>
          <w:tcPr>
            <w:tcW w:w="0" w:type="auto"/>
            <w:shd w:val="clear" w:color="auto" w:fill="365F91" w:themeFill="accent1" w:themeFillShade="BF"/>
            <w:vAlign w:val="center"/>
          </w:tcPr>
          <w:p w14:paraId="53E00FE6" w14:textId="4F37FEA0" w:rsidR="00C55D98" w:rsidRPr="00EB031E" w:rsidRDefault="00C55D98" w:rsidP="00C55D98">
            <w:pPr>
              <w:spacing w:after="0" w:line="240" w:lineRule="auto"/>
              <w:jc w:val="center"/>
              <w:rPr>
                <w:rFonts w:ascii="Book Antiqua" w:eastAsia="Times New Roman" w:hAnsi="Book Antiqua" w:cs="Calibri"/>
                <w:b/>
                <w:bCs/>
                <w:color w:val="FFFFFF" w:themeColor="background1"/>
                <w:sz w:val="18"/>
                <w:szCs w:val="18"/>
                <w:highlight w:val="yellow"/>
                <w:u w:val="single"/>
                <w:lang w:eastAsia="es-CR"/>
              </w:rPr>
            </w:pPr>
            <w:r w:rsidRPr="00EB031E">
              <w:rPr>
                <w:rFonts w:ascii="Book Antiqua" w:eastAsia="Times New Roman" w:hAnsi="Book Antiqua" w:cs="Calibri"/>
                <w:b/>
                <w:bCs/>
                <w:color w:val="FFFFFF" w:themeColor="background1"/>
                <w:sz w:val="18"/>
                <w:szCs w:val="18"/>
                <w:u w:val="single"/>
                <w:lang w:eastAsia="es-CR"/>
              </w:rPr>
              <w:t>141</w:t>
            </w:r>
            <w:r w:rsidR="00677B4E" w:rsidRPr="00EB031E">
              <w:rPr>
                <w:rFonts w:ascii="Book Antiqua" w:eastAsia="Times New Roman" w:hAnsi="Book Antiqua" w:cs="Calibri"/>
                <w:b/>
                <w:bCs/>
                <w:color w:val="FFFFFF" w:themeColor="background1"/>
                <w:sz w:val="18"/>
                <w:szCs w:val="18"/>
                <w:u w:val="single"/>
                <w:lang w:eastAsia="es-CR"/>
              </w:rPr>
              <w:t>9</w:t>
            </w:r>
          </w:p>
        </w:tc>
        <w:tc>
          <w:tcPr>
            <w:tcW w:w="0" w:type="auto"/>
            <w:shd w:val="clear" w:color="auto" w:fill="365F91" w:themeFill="accent1" w:themeFillShade="BF"/>
            <w:vAlign w:val="center"/>
          </w:tcPr>
          <w:p w14:paraId="55CEDED8" w14:textId="6E5216AB" w:rsidR="00C55D98" w:rsidRPr="00EB031E" w:rsidRDefault="00C55D98" w:rsidP="00C55D98">
            <w:pPr>
              <w:spacing w:after="0" w:line="240" w:lineRule="auto"/>
              <w:jc w:val="center"/>
              <w:rPr>
                <w:rFonts w:ascii="Book Antiqua" w:eastAsia="Times New Roman" w:hAnsi="Book Antiqua" w:cs="Calibri"/>
                <w:b/>
                <w:bCs/>
                <w:color w:val="FFFFFF" w:themeColor="background1"/>
                <w:sz w:val="18"/>
                <w:szCs w:val="18"/>
                <w:u w:val="single"/>
                <w:lang w:eastAsia="es-CR"/>
              </w:rPr>
            </w:pPr>
            <w:r w:rsidRPr="00EB031E">
              <w:rPr>
                <w:rFonts w:ascii="Book Antiqua" w:eastAsia="Times New Roman" w:hAnsi="Book Antiqua" w:cs="Calibri"/>
                <w:b/>
                <w:bCs/>
                <w:color w:val="FFFFFF" w:themeColor="background1"/>
                <w:sz w:val="18"/>
                <w:szCs w:val="18"/>
                <w:u w:val="single"/>
                <w:lang w:eastAsia="es-CR"/>
              </w:rPr>
              <w:t>879</w:t>
            </w:r>
          </w:p>
        </w:tc>
        <w:tc>
          <w:tcPr>
            <w:tcW w:w="0" w:type="auto"/>
            <w:shd w:val="clear" w:color="auto" w:fill="365F91" w:themeFill="accent1" w:themeFillShade="BF"/>
            <w:vAlign w:val="center"/>
          </w:tcPr>
          <w:p w14:paraId="7C47DAB5" w14:textId="5E3C963B" w:rsidR="00C55D98" w:rsidRPr="00EB031E" w:rsidRDefault="00C55D98" w:rsidP="00C55D98">
            <w:pPr>
              <w:spacing w:after="0" w:line="240" w:lineRule="auto"/>
              <w:jc w:val="center"/>
              <w:rPr>
                <w:rFonts w:ascii="Book Antiqua" w:eastAsia="Times New Roman" w:hAnsi="Book Antiqua" w:cs="Calibri"/>
                <w:b/>
                <w:bCs/>
                <w:color w:val="FFFFFF" w:themeColor="background1"/>
                <w:sz w:val="18"/>
                <w:szCs w:val="18"/>
                <w:u w:val="single"/>
                <w:lang w:eastAsia="es-CR"/>
              </w:rPr>
            </w:pPr>
            <w:r w:rsidRPr="00EB031E">
              <w:rPr>
                <w:rFonts w:ascii="Book Antiqua" w:eastAsia="Times New Roman" w:hAnsi="Book Antiqua" w:cs="Calibri"/>
                <w:b/>
                <w:bCs/>
                <w:color w:val="FFFFFF" w:themeColor="background1"/>
                <w:sz w:val="18"/>
                <w:szCs w:val="18"/>
                <w:u w:val="single"/>
                <w:lang w:eastAsia="es-CR"/>
              </w:rPr>
              <w:t>767</w:t>
            </w:r>
          </w:p>
        </w:tc>
        <w:tc>
          <w:tcPr>
            <w:tcW w:w="0" w:type="auto"/>
            <w:shd w:val="clear" w:color="auto" w:fill="365F91" w:themeFill="accent1" w:themeFillShade="BF"/>
            <w:vAlign w:val="center"/>
          </w:tcPr>
          <w:p w14:paraId="6B9E5494" w14:textId="555C35DE" w:rsidR="00C55D98" w:rsidRPr="00EB031E" w:rsidRDefault="00C55D98" w:rsidP="00C55D98">
            <w:pPr>
              <w:spacing w:after="0" w:line="240" w:lineRule="auto"/>
              <w:jc w:val="center"/>
              <w:rPr>
                <w:rFonts w:ascii="Book Antiqua" w:eastAsia="Times New Roman" w:hAnsi="Book Antiqua" w:cs="Calibri"/>
                <w:b/>
                <w:bCs/>
                <w:color w:val="FFFFFF" w:themeColor="background1"/>
                <w:sz w:val="18"/>
                <w:szCs w:val="18"/>
                <w:u w:val="single"/>
                <w:lang w:eastAsia="es-CR"/>
              </w:rPr>
            </w:pPr>
            <w:r w:rsidRPr="00EB031E">
              <w:rPr>
                <w:rFonts w:ascii="Book Antiqua" w:eastAsia="Times New Roman" w:hAnsi="Book Antiqua" w:cs="Calibri"/>
                <w:b/>
                <w:bCs/>
                <w:color w:val="FFFFFF" w:themeColor="background1"/>
                <w:sz w:val="18"/>
                <w:szCs w:val="18"/>
                <w:u w:val="single"/>
                <w:lang w:eastAsia="es-CR"/>
              </w:rPr>
              <w:t>1161</w:t>
            </w:r>
          </w:p>
        </w:tc>
        <w:tc>
          <w:tcPr>
            <w:tcW w:w="0" w:type="auto"/>
            <w:shd w:val="clear" w:color="auto" w:fill="365F91" w:themeFill="accent1" w:themeFillShade="BF"/>
            <w:vAlign w:val="center"/>
          </w:tcPr>
          <w:p w14:paraId="341F914D" w14:textId="6BD40FF5" w:rsidR="00C55D98" w:rsidRPr="00EB031E" w:rsidRDefault="00C55D98" w:rsidP="00C55D98">
            <w:pPr>
              <w:spacing w:after="0" w:line="240" w:lineRule="auto"/>
              <w:jc w:val="center"/>
              <w:rPr>
                <w:rFonts w:ascii="Book Antiqua" w:eastAsia="Times New Roman" w:hAnsi="Book Antiqua" w:cs="Calibri"/>
                <w:b/>
                <w:bCs/>
                <w:color w:val="FFFFFF" w:themeColor="background1"/>
                <w:sz w:val="18"/>
                <w:szCs w:val="18"/>
                <w:u w:val="single"/>
                <w:lang w:eastAsia="es-CR"/>
              </w:rPr>
            </w:pPr>
            <w:r w:rsidRPr="00EB031E">
              <w:rPr>
                <w:rFonts w:ascii="Book Antiqua" w:eastAsia="Times New Roman" w:hAnsi="Book Antiqua" w:cs="Calibri"/>
                <w:b/>
                <w:bCs/>
                <w:color w:val="FFFFFF" w:themeColor="background1"/>
                <w:sz w:val="18"/>
                <w:szCs w:val="18"/>
                <w:u w:val="single"/>
                <w:lang w:eastAsia="es-CR"/>
              </w:rPr>
              <w:t>831</w:t>
            </w:r>
            <w:r w:rsidR="00A46807" w:rsidRPr="00EB031E">
              <w:rPr>
                <w:rFonts w:ascii="Book Antiqua" w:eastAsia="Times New Roman" w:hAnsi="Book Antiqua" w:cs="Calibri"/>
                <w:b/>
                <w:bCs/>
                <w:color w:val="FFFFFF" w:themeColor="background1"/>
                <w:sz w:val="18"/>
                <w:szCs w:val="18"/>
                <w:u w:val="single"/>
                <w:lang w:eastAsia="es-CR"/>
              </w:rPr>
              <w:t>9</w:t>
            </w:r>
          </w:p>
        </w:tc>
      </w:tr>
    </w:tbl>
    <w:p w14:paraId="59627275" w14:textId="4C71E6EE" w:rsidR="00755F18" w:rsidRDefault="00381A28" w:rsidP="00AC4601">
      <w:pPr>
        <w:spacing w:line="276" w:lineRule="auto"/>
        <w:jc w:val="both"/>
        <w:rPr>
          <w:rFonts w:ascii="Book Antiqua" w:hAnsi="Book Antiqua"/>
        </w:rPr>
      </w:pPr>
      <w:r w:rsidRPr="00AC4601">
        <w:rPr>
          <w:rFonts w:ascii="Book Antiqua" w:hAnsi="Book Antiqua"/>
          <w:b/>
          <w:i/>
          <w:sz w:val="20"/>
        </w:rPr>
        <w:t xml:space="preserve">Fuente: </w:t>
      </w:r>
      <w:r w:rsidR="008D32DE" w:rsidRPr="006602D9">
        <w:rPr>
          <w:rFonts w:ascii="Book Antiqua" w:hAnsi="Book Antiqua"/>
          <w:bCs/>
          <w:i/>
          <w:sz w:val="20"/>
        </w:rPr>
        <w:t>Anuario Estadístico Judicial 2018, 2019, 2020, los datos del primer semestre del 2021 son datos obtenidos de SIGMA.</w:t>
      </w:r>
      <w:r w:rsidR="008D32DE">
        <w:rPr>
          <w:rFonts w:ascii="Book Antiqua" w:hAnsi="Book Antiqua"/>
          <w:b/>
          <w:i/>
          <w:sz w:val="20"/>
        </w:rPr>
        <w:t xml:space="preserve"> </w:t>
      </w:r>
    </w:p>
    <w:p w14:paraId="2BCD9F60" w14:textId="42200EE2" w:rsidR="00381A28" w:rsidRDefault="00881337" w:rsidP="00AC4601">
      <w:pPr>
        <w:spacing w:line="276" w:lineRule="auto"/>
        <w:jc w:val="both"/>
        <w:rPr>
          <w:rFonts w:ascii="Book Antiqua" w:hAnsi="Book Antiqua"/>
        </w:rPr>
      </w:pPr>
      <w:r w:rsidRPr="00B7076C">
        <w:rPr>
          <w:rFonts w:ascii="Book Antiqua" w:hAnsi="Book Antiqua"/>
        </w:rPr>
        <w:t>E</w:t>
      </w:r>
      <w:r w:rsidR="00381A28" w:rsidRPr="00B7076C">
        <w:rPr>
          <w:rFonts w:ascii="Book Antiqua" w:hAnsi="Book Antiqua"/>
        </w:rPr>
        <w:t xml:space="preserve">n materia de Trabajo durante </w:t>
      </w:r>
      <w:r w:rsidR="007A1D49" w:rsidRPr="000802CB">
        <w:rPr>
          <w:rFonts w:ascii="Book Antiqua" w:hAnsi="Book Antiqua"/>
        </w:rPr>
        <w:t>el periodo analizado</w:t>
      </w:r>
      <w:r w:rsidR="00381A28" w:rsidRPr="000802CB">
        <w:rPr>
          <w:rFonts w:ascii="Book Antiqua" w:hAnsi="Book Antiqua"/>
        </w:rPr>
        <w:t>,</w:t>
      </w:r>
      <w:r w:rsidRPr="000802CB">
        <w:rPr>
          <w:rFonts w:ascii="Book Antiqua" w:hAnsi="Book Antiqua"/>
        </w:rPr>
        <w:t xml:space="preserve"> la entrada de recursos a los Tribunales</w:t>
      </w:r>
      <w:r w:rsidR="00381A28" w:rsidRPr="000802CB">
        <w:rPr>
          <w:rFonts w:ascii="Book Antiqua" w:hAnsi="Book Antiqua"/>
        </w:rPr>
        <w:t xml:space="preserve"> est</w:t>
      </w:r>
      <w:r w:rsidR="007A1D49" w:rsidRPr="004B1BDC">
        <w:rPr>
          <w:rFonts w:ascii="Book Antiqua" w:hAnsi="Book Antiqua"/>
        </w:rPr>
        <w:t xml:space="preserve">á </w:t>
      </w:r>
      <w:r w:rsidR="00381A28" w:rsidRPr="004B1BDC">
        <w:rPr>
          <w:rFonts w:ascii="Book Antiqua" w:hAnsi="Book Antiqua"/>
        </w:rPr>
        <w:t>compuesta en su mayoría por</w:t>
      </w:r>
      <w:r w:rsidRPr="004B1BDC">
        <w:rPr>
          <w:rFonts w:ascii="Book Antiqua" w:hAnsi="Book Antiqua"/>
        </w:rPr>
        <w:t xml:space="preserve"> recursos presentados en procesos</w:t>
      </w:r>
      <w:r w:rsidR="00381A28" w:rsidRPr="004B1BDC">
        <w:rPr>
          <w:rFonts w:ascii="Book Antiqua" w:hAnsi="Book Antiqua"/>
        </w:rPr>
        <w:t xml:space="preserve"> Ordinarios del Sector Privado</w:t>
      </w:r>
      <w:r w:rsidR="00660AC9" w:rsidRPr="004B1BDC">
        <w:rPr>
          <w:rFonts w:ascii="Book Antiqua" w:hAnsi="Book Antiqua"/>
        </w:rPr>
        <w:t xml:space="preserve"> y Ordinarios de Sector Público</w:t>
      </w:r>
      <w:r w:rsidR="00381A28" w:rsidRPr="004B1BDC">
        <w:rPr>
          <w:rFonts w:ascii="Book Antiqua" w:hAnsi="Book Antiqua"/>
        </w:rPr>
        <w:t xml:space="preserve">, con </w:t>
      </w:r>
      <w:r w:rsidR="00670A64" w:rsidRPr="00EB031E">
        <w:rPr>
          <w:rFonts w:ascii="Book Antiqua" w:hAnsi="Book Antiqua"/>
        </w:rPr>
        <w:t>3776</w:t>
      </w:r>
      <w:r w:rsidR="00670A64" w:rsidRPr="00B7076C">
        <w:rPr>
          <w:rFonts w:ascii="Book Antiqua" w:hAnsi="Book Antiqua"/>
        </w:rPr>
        <w:t xml:space="preserve"> </w:t>
      </w:r>
      <w:r w:rsidR="00660AC9" w:rsidRPr="00B7076C">
        <w:rPr>
          <w:rFonts w:ascii="Book Antiqua" w:hAnsi="Book Antiqua"/>
        </w:rPr>
        <w:t xml:space="preserve">y </w:t>
      </w:r>
      <w:r w:rsidR="00670A64" w:rsidRPr="00EB031E">
        <w:rPr>
          <w:rFonts w:ascii="Book Antiqua" w:hAnsi="Book Antiqua"/>
        </w:rPr>
        <w:t>1975</w:t>
      </w:r>
      <w:r w:rsidR="008F74D6" w:rsidRPr="004B1BDC">
        <w:rPr>
          <w:rFonts w:ascii="Book Antiqua" w:hAnsi="Book Antiqua"/>
        </w:rPr>
        <w:t xml:space="preserve"> </w:t>
      </w:r>
      <w:r w:rsidR="00660AC9" w:rsidRPr="004B1BDC">
        <w:rPr>
          <w:rFonts w:ascii="Book Antiqua" w:hAnsi="Book Antiqua"/>
        </w:rPr>
        <w:t>casos respectivamente,</w:t>
      </w:r>
      <w:r w:rsidR="00381A28" w:rsidRPr="004B1BDC">
        <w:rPr>
          <w:rFonts w:ascii="Book Antiqua" w:hAnsi="Book Antiqua"/>
        </w:rPr>
        <w:t xml:space="preserve"> que porcentualmente representa un </w:t>
      </w:r>
      <w:r w:rsidR="00374409" w:rsidRPr="00EB031E">
        <w:rPr>
          <w:rFonts w:ascii="Book Antiqua" w:hAnsi="Book Antiqua"/>
        </w:rPr>
        <w:t>45</w:t>
      </w:r>
      <w:r w:rsidR="00660AC9" w:rsidRPr="00B7076C">
        <w:rPr>
          <w:rFonts w:ascii="Book Antiqua" w:hAnsi="Book Antiqua"/>
        </w:rPr>
        <w:t>% y un 2</w:t>
      </w:r>
      <w:r w:rsidR="00374409" w:rsidRPr="00EB031E">
        <w:rPr>
          <w:rFonts w:ascii="Book Antiqua" w:hAnsi="Book Antiqua"/>
        </w:rPr>
        <w:t>4</w:t>
      </w:r>
      <w:r w:rsidR="00660AC9" w:rsidRPr="004B1BDC">
        <w:rPr>
          <w:rFonts w:ascii="Book Antiqua" w:hAnsi="Book Antiqua"/>
        </w:rPr>
        <w:t>% de los</w:t>
      </w:r>
      <w:r w:rsidR="00381A28" w:rsidRPr="004B1BDC">
        <w:rPr>
          <w:rFonts w:ascii="Book Antiqua" w:hAnsi="Book Antiqua"/>
        </w:rPr>
        <w:t xml:space="preserve"> casos ingresad</w:t>
      </w:r>
      <w:r w:rsidR="00381A28" w:rsidRPr="00FD403C">
        <w:rPr>
          <w:rFonts w:ascii="Book Antiqua" w:hAnsi="Book Antiqua"/>
        </w:rPr>
        <w:t>os</w:t>
      </w:r>
      <w:r w:rsidR="00660AC9" w:rsidRPr="00FD403C">
        <w:rPr>
          <w:rFonts w:ascii="Book Antiqua" w:hAnsi="Book Antiqua"/>
        </w:rPr>
        <w:t>.</w:t>
      </w:r>
      <w:r w:rsidR="00381A28" w:rsidRPr="00FD403C">
        <w:rPr>
          <w:rFonts w:ascii="Book Antiqua" w:hAnsi="Book Antiqua"/>
        </w:rPr>
        <w:t xml:space="preserve"> </w:t>
      </w:r>
      <w:r w:rsidR="00660AC9" w:rsidRPr="00FD403C">
        <w:rPr>
          <w:rFonts w:ascii="Book Antiqua" w:hAnsi="Book Antiqua"/>
        </w:rPr>
        <w:t>E</w:t>
      </w:r>
      <w:r w:rsidR="00381A28" w:rsidRPr="00FD403C">
        <w:rPr>
          <w:rFonts w:ascii="Book Antiqua" w:hAnsi="Book Antiqua"/>
        </w:rPr>
        <w:t>l Tribunal de Apelaciones Civil y Laboral de Alajuela</w:t>
      </w:r>
      <w:r w:rsidR="00660AC9" w:rsidRPr="00FD403C">
        <w:rPr>
          <w:rFonts w:ascii="Book Antiqua" w:hAnsi="Book Antiqua"/>
        </w:rPr>
        <w:t>, es el Despacho que ingresan más casos de</w:t>
      </w:r>
      <w:r w:rsidR="007E35CA" w:rsidRPr="00EB031E">
        <w:rPr>
          <w:rFonts w:ascii="Book Antiqua" w:hAnsi="Book Antiqua"/>
        </w:rPr>
        <w:t xml:space="preserve"> Ordinarios Sector Privado</w:t>
      </w:r>
      <w:r w:rsidR="004204CC" w:rsidRPr="00EB031E">
        <w:rPr>
          <w:rFonts w:ascii="Book Antiqua" w:hAnsi="Book Antiqua"/>
        </w:rPr>
        <w:t xml:space="preserve"> con 821 asuntos</w:t>
      </w:r>
      <w:r w:rsidR="00660AC9" w:rsidRPr="00FD403C">
        <w:rPr>
          <w:rFonts w:ascii="Book Antiqua" w:hAnsi="Book Antiqua"/>
        </w:rPr>
        <w:t xml:space="preserve">, lo que le hace ser el Tribunal de Apelación de mayor ingreso a nivel nacional en esta materia, con un </w:t>
      </w:r>
      <w:r w:rsidR="00B7076C" w:rsidRPr="00EB031E">
        <w:rPr>
          <w:rFonts w:ascii="Book Antiqua" w:hAnsi="Book Antiqua"/>
        </w:rPr>
        <w:t>22</w:t>
      </w:r>
      <w:r w:rsidR="00660AC9" w:rsidRPr="00FD403C">
        <w:rPr>
          <w:rFonts w:ascii="Book Antiqua" w:hAnsi="Book Antiqua"/>
        </w:rPr>
        <w:t>% de la entrada total.</w:t>
      </w:r>
      <w:r w:rsidR="00660AC9" w:rsidRPr="00410ED4">
        <w:rPr>
          <w:rFonts w:ascii="Book Antiqua" w:hAnsi="Book Antiqua"/>
        </w:rPr>
        <w:t xml:space="preserve"> </w:t>
      </w:r>
    </w:p>
    <w:p w14:paraId="64B1A048" w14:textId="0D5EDB27" w:rsidR="00755F18" w:rsidRDefault="00755F18">
      <w:pPr>
        <w:rPr>
          <w:rFonts w:ascii="Book Antiqua" w:hAnsi="Book Antiqua"/>
        </w:rPr>
      </w:pPr>
      <w:r>
        <w:rPr>
          <w:rFonts w:ascii="Book Antiqua" w:hAnsi="Book Antiqua"/>
        </w:rPr>
        <w:br w:type="page"/>
      </w:r>
    </w:p>
    <w:p w14:paraId="709C1B24" w14:textId="084E1C56" w:rsidR="003D6AF3" w:rsidRPr="003E49BB" w:rsidRDefault="003D6AF3" w:rsidP="009C259C">
      <w:pPr>
        <w:pStyle w:val="Ttulo3"/>
        <w:numPr>
          <w:ilvl w:val="2"/>
          <w:numId w:val="1"/>
        </w:numPr>
        <w:rPr>
          <w:rFonts w:ascii="Book Antiqua" w:hAnsi="Book Antiqua"/>
          <w:b/>
          <w:color w:val="000000" w:themeColor="text1"/>
          <w:szCs w:val="22"/>
          <w:u w:val="single"/>
        </w:rPr>
      </w:pPr>
      <w:r w:rsidRPr="003E49BB">
        <w:rPr>
          <w:rFonts w:ascii="Book Antiqua" w:hAnsi="Book Antiqua"/>
          <w:b/>
          <w:color w:val="000000" w:themeColor="text1"/>
          <w:szCs w:val="22"/>
          <w:u w:val="single"/>
        </w:rPr>
        <w:lastRenderedPageBreak/>
        <w:t xml:space="preserve">Casos Terminados </w:t>
      </w:r>
    </w:p>
    <w:p w14:paraId="417E6212" w14:textId="77777777" w:rsidR="003D6AF3" w:rsidRPr="00410ED4" w:rsidRDefault="003D6AF3" w:rsidP="0060505C">
      <w:pPr>
        <w:spacing w:line="276" w:lineRule="auto"/>
        <w:jc w:val="both"/>
        <w:rPr>
          <w:rFonts w:ascii="Book Antiqua" w:hAnsi="Book Antiqua"/>
        </w:rPr>
      </w:pPr>
    </w:p>
    <w:p w14:paraId="5A4ED3A9" w14:textId="62E7D8CE" w:rsidR="00D429DE" w:rsidRDefault="00D429DE" w:rsidP="0060505C">
      <w:pPr>
        <w:spacing w:line="276" w:lineRule="auto"/>
        <w:jc w:val="both"/>
        <w:rPr>
          <w:rFonts w:ascii="Book Antiqua" w:hAnsi="Book Antiqua"/>
        </w:rPr>
      </w:pPr>
      <w:r w:rsidRPr="00410ED4">
        <w:rPr>
          <w:rFonts w:ascii="Book Antiqua" w:hAnsi="Book Antiqua"/>
        </w:rPr>
        <w:t>Con respecto a los casos terminados, los Tribunales de Apelación Civil y Trabajo durante el</w:t>
      </w:r>
      <w:r w:rsidR="00C92A62">
        <w:rPr>
          <w:rFonts w:ascii="Book Antiqua" w:hAnsi="Book Antiqua"/>
        </w:rPr>
        <w:t xml:space="preserve"> </w:t>
      </w:r>
      <w:r w:rsidR="00B34715">
        <w:rPr>
          <w:rFonts w:ascii="Book Antiqua" w:hAnsi="Book Antiqua"/>
        </w:rPr>
        <w:t xml:space="preserve">periodo </w:t>
      </w:r>
      <w:r w:rsidR="00B34715" w:rsidRPr="00410ED4">
        <w:rPr>
          <w:rFonts w:ascii="Book Antiqua" w:hAnsi="Book Antiqua"/>
        </w:rPr>
        <w:t>2018</w:t>
      </w:r>
      <w:r w:rsidR="00B35AFA">
        <w:rPr>
          <w:rFonts w:ascii="Book Antiqua" w:hAnsi="Book Antiqua"/>
        </w:rPr>
        <w:t>,</w:t>
      </w:r>
      <w:r w:rsidR="00C92A62">
        <w:rPr>
          <w:rFonts w:ascii="Book Antiqua" w:hAnsi="Book Antiqua"/>
        </w:rPr>
        <w:t>2019</w:t>
      </w:r>
      <w:r w:rsidR="00B35AFA">
        <w:rPr>
          <w:rFonts w:ascii="Book Antiqua" w:hAnsi="Book Antiqua"/>
        </w:rPr>
        <w:t>,2020 y primer semestre 2021</w:t>
      </w:r>
      <w:r w:rsidRPr="00410ED4">
        <w:rPr>
          <w:rFonts w:ascii="Book Antiqua" w:hAnsi="Book Antiqua"/>
        </w:rPr>
        <w:t xml:space="preserve"> obtuv</w:t>
      </w:r>
      <w:r w:rsidR="009647E8" w:rsidRPr="00410ED4">
        <w:rPr>
          <w:rFonts w:ascii="Book Antiqua" w:hAnsi="Book Antiqua"/>
        </w:rPr>
        <w:t>ieron</w:t>
      </w:r>
      <w:r w:rsidRPr="00410ED4">
        <w:rPr>
          <w:rFonts w:ascii="Book Antiqua" w:hAnsi="Book Antiqua"/>
        </w:rPr>
        <w:t xml:space="preserve"> el siguiente comportamiento:</w:t>
      </w:r>
    </w:p>
    <w:p w14:paraId="3400FD33" w14:textId="24FE5C5B" w:rsidR="00881337" w:rsidRDefault="00881337" w:rsidP="0060505C">
      <w:pPr>
        <w:spacing w:line="276" w:lineRule="auto"/>
        <w:jc w:val="both"/>
        <w:rPr>
          <w:rFonts w:ascii="Book Antiqua" w:hAnsi="Book Antiqua"/>
        </w:rPr>
      </w:pPr>
    </w:p>
    <w:p w14:paraId="35B6F8F8" w14:textId="50154796" w:rsidR="00DB3347" w:rsidRPr="00410ED4" w:rsidRDefault="00DB3347" w:rsidP="00DB3347">
      <w:pPr>
        <w:keepNext/>
        <w:widowControl w:val="0"/>
        <w:autoSpaceDE w:val="0"/>
        <w:autoSpaceDN w:val="0"/>
        <w:adjustRightInd w:val="0"/>
        <w:spacing w:after="0" w:line="240" w:lineRule="auto"/>
        <w:jc w:val="center"/>
        <w:rPr>
          <w:rFonts w:ascii="Book Antiqua" w:eastAsia="Times New Roman" w:hAnsi="Book Antiqua" w:cs="Arial"/>
          <w:b/>
          <w:bCs/>
          <w:color w:val="1F497D" w:themeColor="text2"/>
          <w:lang w:eastAsia="es-ES"/>
        </w:rPr>
      </w:pPr>
      <w:r w:rsidRPr="00410ED4">
        <w:rPr>
          <w:rFonts w:ascii="Book Antiqua" w:eastAsia="Times New Roman" w:hAnsi="Book Antiqua" w:cs="Arial"/>
          <w:b/>
          <w:bCs/>
          <w:color w:val="1F497D" w:themeColor="text2"/>
          <w:lang w:eastAsia="es-ES"/>
        </w:rPr>
        <w:t xml:space="preserve">Cuadro </w:t>
      </w:r>
      <w:r w:rsidRPr="00410ED4">
        <w:rPr>
          <w:rFonts w:ascii="Book Antiqua" w:eastAsia="Times New Roman" w:hAnsi="Book Antiqua" w:cs="Arial"/>
          <w:b/>
          <w:bCs/>
          <w:color w:val="1F497D" w:themeColor="text2"/>
          <w:lang w:eastAsia="es-ES"/>
        </w:rPr>
        <w:fldChar w:fldCharType="begin"/>
      </w:r>
      <w:r w:rsidRPr="00410ED4">
        <w:rPr>
          <w:rFonts w:ascii="Book Antiqua" w:eastAsia="Times New Roman" w:hAnsi="Book Antiqua" w:cs="Arial"/>
          <w:b/>
          <w:bCs/>
          <w:color w:val="1F497D" w:themeColor="text2"/>
          <w:lang w:eastAsia="es-ES"/>
        </w:rPr>
        <w:instrText xml:space="preserve"> SEQ Cuadro \* ARABIC </w:instrText>
      </w:r>
      <w:r w:rsidRPr="00410ED4">
        <w:rPr>
          <w:rFonts w:ascii="Book Antiqua" w:eastAsia="Times New Roman" w:hAnsi="Book Antiqua" w:cs="Arial"/>
          <w:b/>
          <w:bCs/>
          <w:color w:val="1F497D" w:themeColor="text2"/>
          <w:lang w:eastAsia="es-ES"/>
        </w:rPr>
        <w:fldChar w:fldCharType="separate"/>
      </w:r>
      <w:r>
        <w:rPr>
          <w:rFonts w:ascii="Book Antiqua" w:eastAsia="Times New Roman" w:hAnsi="Book Antiqua" w:cs="Arial"/>
          <w:b/>
          <w:bCs/>
          <w:noProof/>
          <w:color w:val="1F497D" w:themeColor="text2"/>
          <w:lang w:eastAsia="es-ES"/>
        </w:rPr>
        <w:t>5</w:t>
      </w:r>
      <w:r w:rsidRPr="00410ED4">
        <w:rPr>
          <w:rFonts w:ascii="Book Antiqua" w:eastAsia="Times New Roman" w:hAnsi="Book Antiqua" w:cs="Arial"/>
          <w:b/>
          <w:bCs/>
          <w:color w:val="1F497D" w:themeColor="text2"/>
          <w:lang w:eastAsia="es-ES"/>
        </w:rPr>
        <w:fldChar w:fldCharType="end"/>
      </w:r>
    </w:p>
    <w:p w14:paraId="07993925" w14:textId="4EBF8192" w:rsidR="00DB7D93" w:rsidRPr="00410ED4" w:rsidRDefault="00DB7D93" w:rsidP="00DB3347">
      <w:pPr>
        <w:keepNext/>
        <w:widowControl w:val="0"/>
        <w:autoSpaceDE w:val="0"/>
        <w:autoSpaceDN w:val="0"/>
        <w:adjustRightInd w:val="0"/>
        <w:spacing w:after="0" w:line="240" w:lineRule="auto"/>
        <w:jc w:val="center"/>
        <w:rPr>
          <w:rFonts w:ascii="Book Antiqua" w:eastAsia="Times New Roman" w:hAnsi="Book Antiqua" w:cs="Arial"/>
          <w:b/>
          <w:bCs/>
          <w:color w:val="1F497D" w:themeColor="text2"/>
          <w:lang w:eastAsia="es-ES"/>
        </w:rPr>
      </w:pPr>
      <w:r w:rsidRPr="00410ED4">
        <w:rPr>
          <w:rFonts w:ascii="Book Antiqua" w:eastAsia="Times New Roman" w:hAnsi="Book Antiqua" w:cs="Arial"/>
          <w:b/>
          <w:bCs/>
          <w:color w:val="1F497D" w:themeColor="text2"/>
          <w:lang w:eastAsia="es-ES"/>
        </w:rPr>
        <w:t>Casos terminados por los</w:t>
      </w:r>
      <w:r w:rsidR="00D429DE" w:rsidRPr="00410ED4">
        <w:rPr>
          <w:rFonts w:ascii="Book Antiqua" w:eastAsia="Times New Roman" w:hAnsi="Book Antiqua" w:cs="Arial"/>
          <w:b/>
          <w:bCs/>
          <w:color w:val="1F497D" w:themeColor="text2"/>
          <w:lang w:eastAsia="es-ES"/>
        </w:rPr>
        <w:t xml:space="preserve"> Tribunales de Apelación Civil y Trabajo </w:t>
      </w:r>
      <w:r w:rsidR="00BD2212">
        <w:rPr>
          <w:rFonts w:ascii="Book Antiqua" w:eastAsia="Times New Roman" w:hAnsi="Book Antiqua" w:cs="Arial"/>
          <w:b/>
          <w:bCs/>
          <w:color w:val="1F497D" w:themeColor="text2"/>
          <w:lang w:eastAsia="es-ES"/>
        </w:rPr>
        <w:t>(Mixto)</w:t>
      </w:r>
    </w:p>
    <w:p w14:paraId="46848647" w14:textId="73753578" w:rsidR="00D429DE" w:rsidRDefault="00D429DE" w:rsidP="00DB3347">
      <w:pPr>
        <w:keepNext/>
        <w:widowControl w:val="0"/>
        <w:autoSpaceDE w:val="0"/>
        <w:autoSpaceDN w:val="0"/>
        <w:adjustRightInd w:val="0"/>
        <w:spacing w:after="0" w:line="240" w:lineRule="auto"/>
        <w:jc w:val="center"/>
        <w:rPr>
          <w:rFonts w:ascii="Book Antiqua" w:eastAsia="Times New Roman" w:hAnsi="Book Antiqua" w:cs="Arial"/>
          <w:b/>
          <w:bCs/>
          <w:color w:val="1F497D" w:themeColor="text2"/>
          <w:lang w:eastAsia="es-ES"/>
        </w:rPr>
      </w:pPr>
      <w:r w:rsidRPr="00410ED4">
        <w:rPr>
          <w:rFonts w:ascii="Book Antiqua" w:eastAsia="Times New Roman" w:hAnsi="Book Antiqua" w:cs="Arial"/>
          <w:b/>
          <w:bCs/>
          <w:color w:val="1F497D" w:themeColor="text2"/>
          <w:lang w:eastAsia="es-ES"/>
        </w:rPr>
        <w:t>Periodo 2018</w:t>
      </w:r>
      <w:r w:rsidR="00E15351">
        <w:rPr>
          <w:rFonts w:ascii="Book Antiqua" w:eastAsia="Times New Roman" w:hAnsi="Book Antiqua" w:cs="Arial"/>
          <w:b/>
          <w:bCs/>
          <w:color w:val="1F497D" w:themeColor="text2"/>
          <w:lang w:eastAsia="es-ES"/>
        </w:rPr>
        <w:t>,</w:t>
      </w:r>
      <w:r w:rsidR="00935E26">
        <w:rPr>
          <w:rFonts w:ascii="Book Antiqua" w:eastAsia="Times New Roman" w:hAnsi="Book Antiqua" w:cs="Arial"/>
          <w:b/>
          <w:bCs/>
          <w:color w:val="1F497D" w:themeColor="text2"/>
          <w:lang w:eastAsia="es-ES"/>
        </w:rPr>
        <w:t>2019</w:t>
      </w:r>
      <w:r w:rsidR="00E15351">
        <w:rPr>
          <w:rFonts w:ascii="Book Antiqua" w:eastAsia="Times New Roman" w:hAnsi="Book Antiqua" w:cs="Arial"/>
          <w:b/>
          <w:bCs/>
          <w:color w:val="1F497D" w:themeColor="text2"/>
          <w:lang w:eastAsia="es-ES"/>
        </w:rPr>
        <w:t>, 2020</w:t>
      </w:r>
      <w:r w:rsidR="00E15351" w:rsidRPr="00674BB8">
        <w:rPr>
          <w:rFonts w:ascii="Book Antiqua" w:eastAsia="Times New Roman" w:hAnsi="Book Antiqua" w:cs="Arial"/>
          <w:b/>
          <w:bCs/>
          <w:color w:val="1F497D" w:themeColor="text2"/>
          <w:lang w:eastAsia="es-ES"/>
        </w:rPr>
        <w:t xml:space="preserve"> y primer semestre 2021</w:t>
      </w:r>
    </w:p>
    <w:tbl>
      <w:tblPr>
        <w:tblW w:w="4686" w:type="pct"/>
        <w:tblCellMar>
          <w:left w:w="70" w:type="dxa"/>
          <w:right w:w="70" w:type="dxa"/>
        </w:tblCellMar>
        <w:tblLook w:val="04A0" w:firstRow="1" w:lastRow="0" w:firstColumn="1" w:lastColumn="0" w:noHBand="0" w:noVBand="1"/>
      </w:tblPr>
      <w:tblGrid>
        <w:gridCol w:w="3958"/>
        <w:gridCol w:w="824"/>
        <w:gridCol w:w="824"/>
        <w:gridCol w:w="782"/>
        <w:gridCol w:w="824"/>
        <w:gridCol w:w="769"/>
        <w:gridCol w:w="824"/>
      </w:tblGrid>
      <w:tr w:rsidR="003C7AE1" w:rsidRPr="003C7AE1" w14:paraId="0306F58B" w14:textId="77777777" w:rsidTr="00674BB8">
        <w:trPr>
          <w:trHeight w:val="1217"/>
        </w:trPr>
        <w:tc>
          <w:tcPr>
            <w:tcW w:w="2248" w:type="pct"/>
            <w:tcBorders>
              <w:top w:val="single" w:sz="8" w:space="0" w:color="auto"/>
              <w:left w:val="single" w:sz="8" w:space="0" w:color="auto"/>
              <w:bottom w:val="single" w:sz="8" w:space="0" w:color="auto"/>
              <w:right w:val="single" w:sz="8" w:space="0" w:color="auto"/>
            </w:tcBorders>
            <w:shd w:val="clear" w:color="000000" w:fill="1F497D"/>
            <w:vAlign w:val="center"/>
            <w:hideMark/>
          </w:tcPr>
          <w:p w14:paraId="6FC08F6A" w14:textId="77777777" w:rsidR="003C7AE1" w:rsidRPr="00674BB8" w:rsidRDefault="003C7AE1" w:rsidP="003C7AE1">
            <w:pPr>
              <w:spacing w:after="0" w:line="240" w:lineRule="auto"/>
              <w:jc w:val="center"/>
              <w:rPr>
                <w:rFonts w:ascii="Book Antiqua" w:eastAsia="Times New Roman" w:hAnsi="Book Antiqua" w:cs="Calibri"/>
                <w:b/>
                <w:bCs/>
                <w:color w:val="FFFFFF"/>
                <w:sz w:val="18"/>
                <w:szCs w:val="18"/>
                <w:lang w:eastAsia="es-CR"/>
              </w:rPr>
            </w:pPr>
            <w:r w:rsidRPr="00674BB8">
              <w:rPr>
                <w:rFonts w:ascii="Book Antiqua" w:eastAsia="Times New Roman" w:hAnsi="Book Antiqua" w:cs="Calibri"/>
                <w:b/>
                <w:bCs/>
                <w:color w:val="FFFFFF"/>
                <w:sz w:val="18"/>
                <w:szCs w:val="18"/>
                <w:lang w:eastAsia="es-CR"/>
              </w:rPr>
              <w:t xml:space="preserve">Despacho </w:t>
            </w:r>
          </w:p>
        </w:tc>
        <w:tc>
          <w:tcPr>
            <w:tcW w:w="468" w:type="pct"/>
            <w:tcBorders>
              <w:top w:val="double" w:sz="6" w:space="0" w:color="1F497D"/>
              <w:left w:val="nil"/>
              <w:bottom w:val="double" w:sz="6" w:space="0" w:color="1F497D"/>
              <w:right w:val="double" w:sz="6" w:space="0" w:color="1F497D"/>
            </w:tcBorders>
            <w:shd w:val="clear" w:color="000000" w:fill="1F497D"/>
            <w:vAlign w:val="center"/>
            <w:hideMark/>
          </w:tcPr>
          <w:p w14:paraId="494ACBD2" w14:textId="77777777" w:rsidR="003C7AE1" w:rsidRPr="00674BB8" w:rsidRDefault="003C7AE1" w:rsidP="003C7AE1">
            <w:pPr>
              <w:spacing w:after="0" w:line="240" w:lineRule="auto"/>
              <w:jc w:val="center"/>
              <w:rPr>
                <w:rFonts w:ascii="Book Antiqua" w:eastAsia="Times New Roman" w:hAnsi="Book Antiqua" w:cs="Calibri"/>
                <w:b/>
                <w:bCs/>
                <w:color w:val="FFFFFF"/>
                <w:sz w:val="18"/>
                <w:szCs w:val="18"/>
                <w:lang w:eastAsia="es-CR"/>
              </w:rPr>
            </w:pPr>
            <w:r w:rsidRPr="00674BB8">
              <w:rPr>
                <w:rFonts w:ascii="Book Antiqua" w:eastAsia="Times New Roman" w:hAnsi="Book Antiqua" w:cs="Calibri"/>
                <w:b/>
                <w:bCs/>
                <w:color w:val="FFFFFF"/>
                <w:sz w:val="18"/>
                <w:szCs w:val="18"/>
                <w:lang w:eastAsia="es-CR"/>
              </w:rPr>
              <w:t>Total de casos Terminados 2018-2019-2020 I semestre 2021 Materia Civil</w:t>
            </w:r>
          </w:p>
        </w:tc>
        <w:tc>
          <w:tcPr>
            <w:tcW w:w="468" w:type="pct"/>
            <w:tcBorders>
              <w:top w:val="double" w:sz="6" w:space="0" w:color="1F497D"/>
              <w:left w:val="nil"/>
              <w:bottom w:val="double" w:sz="6" w:space="0" w:color="1F497D"/>
              <w:right w:val="double" w:sz="6" w:space="0" w:color="1F497D"/>
            </w:tcBorders>
            <w:shd w:val="clear" w:color="000000" w:fill="1F497D"/>
            <w:vAlign w:val="center"/>
            <w:hideMark/>
          </w:tcPr>
          <w:p w14:paraId="557A09EF" w14:textId="77777777" w:rsidR="003C7AE1" w:rsidRPr="00674BB8" w:rsidRDefault="003C7AE1" w:rsidP="003C7AE1">
            <w:pPr>
              <w:spacing w:after="0" w:line="240" w:lineRule="auto"/>
              <w:jc w:val="center"/>
              <w:rPr>
                <w:rFonts w:ascii="Book Antiqua" w:eastAsia="Times New Roman" w:hAnsi="Book Antiqua" w:cs="Calibri"/>
                <w:b/>
                <w:bCs/>
                <w:color w:val="FFFFFF"/>
                <w:sz w:val="18"/>
                <w:szCs w:val="18"/>
                <w:lang w:eastAsia="es-CR"/>
              </w:rPr>
            </w:pPr>
            <w:r w:rsidRPr="00674BB8">
              <w:rPr>
                <w:rFonts w:ascii="Book Antiqua" w:eastAsia="Times New Roman" w:hAnsi="Book Antiqua" w:cs="Calibri"/>
                <w:b/>
                <w:bCs/>
                <w:color w:val="FFFFFF"/>
                <w:sz w:val="18"/>
                <w:szCs w:val="18"/>
                <w:lang w:eastAsia="es-CR"/>
              </w:rPr>
              <w:t>Total de casos Terminados 2018-2019-2020 I semestre 2021 Materia Trabajo</w:t>
            </w:r>
          </w:p>
        </w:tc>
        <w:tc>
          <w:tcPr>
            <w:tcW w:w="444" w:type="pct"/>
            <w:tcBorders>
              <w:top w:val="double" w:sz="6" w:space="0" w:color="1F497D"/>
              <w:left w:val="nil"/>
              <w:bottom w:val="double" w:sz="6" w:space="0" w:color="1F497D"/>
              <w:right w:val="double" w:sz="6" w:space="0" w:color="1F497D"/>
            </w:tcBorders>
            <w:shd w:val="clear" w:color="000000" w:fill="1F497D"/>
            <w:vAlign w:val="center"/>
            <w:hideMark/>
          </w:tcPr>
          <w:p w14:paraId="45DBFD13" w14:textId="77777777" w:rsidR="003C7AE1" w:rsidRPr="00674BB8" w:rsidRDefault="003C7AE1" w:rsidP="003C7AE1">
            <w:pPr>
              <w:spacing w:after="0" w:line="240" w:lineRule="auto"/>
              <w:jc w:val="center"/>
              <w:rPr>
                <w:rFonts w:ascii="Book Antiqua" w:eastAsia="Times New Roman" w:hAnsi="Book Antiqua" w:cs="Calibri"/>
                <w:b/>
                <w:bCs/>
                <w:color w:val="FFFFFF"/>
                <w:sz w:val="18"/>
                <w:szCs w:val="18"/>
                <w:lang w:eastAsia="es-CR"/>
              </w:rPr>
            </w:pPr>
            <w:r w:rsidRPr="00674BB8">
              <w:rPr>
                <w:rFonts w:ascii="Book Antiqua" w:eastAsia="Times New Roman" w:hAnsi="Book Antiqua" w:cs="Calibri"/>
                <w:b/>
                <w:bCs/>
                <w:color w:val="FFFFFF"/>
                <w:sz w:val="18"/>
                <w:szCs w:val="18"/>
                <w:lang w:eastAsia="es-CR"/>
              </w:rPr>
              <w:t xml:space="preserve"> Total de terminados  </w:t>
            </w:r>
          </w:p>
        </w:tc>
        <w:tc>
          <w:tcPr>
            <w:tcW w:w="468" w:type="pct"/>
            <w:tcBorders>
              <w:top w:val="double" w:sz="6" w:space="0" w:color="1F497D"/>
              <w:left w:val="nil"/>
              <w:bottom w:val="double" w:sz="6" w:space="0" w:color="1F497D"/>
              <w:right w:val="double" w:sz="6" w:space="0" w:color="1F497D"/>
            </w:tcBorders>
            <w:shd w:val="clear" w:color="000000" w:fill="1F497D"/>
            <w:vAlign w:val="center"/>
            <w:hideMark/>
          </w:tcPr>
          <w:p w14:paraId="2388A748" w14:textId="77777777" w:rsidR="003C7AE1" w:rsidRPr="00674BB8" w:rsidRDefault="003C7AE1" w:rsidP="003C7AE1">
            <w:pPr>
              <w:spacing w:after="0" w:line="240" w:lineRule="auto"/>
              <w:jc w:val="center"/>
              <w:rPr>
                <w:rFonts w:ascii="Book Antiqua" w:eastAsia="Times New Roman" w:hAnsi="Book Antiqua" w:cs="Calibri"/>
                <w:b/>
                <w:bCs/>
                <w:color w:val="FFFFFF"/>
                <w:sz w:val="18"/>
                <w:szCs w:val="18"/>
                <w:lang w:eastAsia="es-CR"/>
              </w:rPr>
            </w:pPr>
            <w:r w:rsidRPr="00674BB8">
              <w:rPr>
                <w:rFonts w:ascii="Book Antiqua" w:eastAsia="Times New Roman" w:hAnsi="Book Antiqua" w:cs="Calibri"/>
                <w:b/>
                <w:bCs/>
                <w:color w:val="FFFFFF"/>
                <w:sz w:val="18"/>
                <w:szCs w:val="18"/>
                <w:lang w:eastAsia="es-CR"/>
              </w:rPr>
              <w:t>Casos Terminados Promedio Mensual</w:t>
            </w:r>
          </w:p>
        </w:tc>
        <w:tc>
          <w:tcPr>
            <w:tcW w:w="437" w:type="pct"/>
            <w:tcBorders>
              <w:top w:val="double" w:sz="6" w:space="0" w:color="1F497D"/>
              <w:left w:val="nil"/>
              <w:bottom w:val="double" w:sz="6" w:space="0" w:color="1F497D"/>
              <w:right w:val="double" w:sz="6" w:space="0" w:color="1F497D"/>
            </w:tcBorders>
            <w:shd w:val="clear" w:color="000000" w:fill="1F497D"/>
            <w:vAlign w:val="center"/>
            <w:hideMark/>
          </w:tcPr>
          <w:p w14:paraId="4C8645C7" w14:textId="77777777" w:rsidR="003C7AE1" w:rsidRPr="00674BB8" w:rsidRDefault="003C7AE1" w:rsidP="003C7AE1">
            <w:pPr>
              <w:spacing w:after="0" w:line="240" w:lineRule="auto"/>
              <w:jc w:val="center"/>
              <w:rPr>
                <w:rFonts w:ascii="Book Antiqua" w:eastAsia="Times New Roman" w:hAnsi="Book Antiqua" w:cs="Calibri"/>
                <w:b/>
                <w:bCs/>
                <w:color w:val="FFFFFF"/>
                <w:sz w:val="18"/>
                <w:szCs w:val="18"/>
                <w:lang w:eastAsia="es-CR"/>
              </w:rPr>
            </w:pPr>
            <w:r w:rsidRPr="00674BB8">
              <w:rPr>
                <w:rFonts w:ascii="Book Antiqua" w:eastAsia="Times New Roman" w:hAnsi="Book Antiqua" w:cs="Calibri"/>
                <w:b/>
                <w:bCs/>
                <w:color w:val="FFFFFF"/>
                <w:sz w:val="18"/>
                <w:szCs w:val="18"/>
                <w:lang w:eastAsia="es-CR"/>
              </w:rPr>
              <w:t>Cant. Personas Juzgadoras</w:t>
            </w:r>
          </w:p>
        </w:tc>
        <w:tc>
          <w:tcPr>
            <w:tcW w:w="468" w:type="pct"/>
            <w:tcBorders>
              <w:top w:val="double" w:sz="6" w:space="0" w:color="1F497D"/>
              <w:left w:val="nil"/>
              <w:bottom w:val="double" w:sz="6" w:space="0" w:color="1F497D"/>
              <w:right w:val="double" w:sz="6" w:space="0" w:color="1F497D"/>
            </w:tcBorders>
            <w:shd w:val="clear" w:color="000000" w:fill="1F497D"/>
            <w:vAlign w:val="center"/>
            <w:hideMark/>
          </w:tcPr>
          <w:p w14:paraId="562FCE37" w14:textId="77777777" w:rsidR="003C7AE1" w:rsidRPr="00674BB8" w:rsidRDefault="003C7AE1" w:rsidP="003C7AE1">
            <w:pPr>
              <w:spacing w:after="0" w:line="240" w:lineRule="auto"/>
              <w:jc w:val="center"/>
              <w:rPr>
                <w:rFonts w:ascii="Book Antiqua" w:eastAsia="Times New Roman" w:hAnsi="Book Antiqua" w:cs="Calibri"/>
                <w:b/>
                <w:bCs/>
                <w:color w:val="FFFFFF"/>
                <w:sz w:val="18"/>
                <w:szCs w:val="18"/>
                <w:lang w:eastAsia="es-CR"/>
              </w:rPr>
            </w:pPr>
            <w:r w:rsidRPr="00674BB8">
              <w:rPr>
                <w:rFonts w:ascii="Book Antiqua" w:eastAsia="Times New Roman" w:hAnsi="Book Antiqua" w:cs="Calibri"/>
                <w:b/>
                <w:bCs/>
                <w:color w:val="FFFFFF"/>
                <w:sz w:val="18"/>
                <w:szCs w:val="18"/>
                <w:lang w:eastAsia="es-CR"/>
              </w:rPr>
              <w:t>Casos Terminados Promedio Mensual por Juez</w:t>
            </w:r>
          </w:p>
        </w:tc>
      </w:tr>
      <w:tr w:rsidR="003C7AE1" w:rsidRPr="003C7AE1" w14:paraId="6D608739" w14:textId="77777777" w:rsidTr="00674BB8">
        <w:trPr>
          <w:trHeight w:val="272"/>
        </w:trPr>
        <w:tc>
          <w:tcPr>
            <w:tcW w:w="2248" w:type="pct"/>
            <w:tcBorders>
              <w:top w:val="nil"/>
              <w:left w:val="double" w:sz="6" w:space="0" w:color="1F497D"/>
              <w:bottom w:val="nil"/>
              <w:right w:val="double" w:sz="6" w:space="0" w:color="1F497D"/>
            </w:tcBorders>
            <w:shd w:val="clear" w:color="000000" w:fill="DCE6F1"/>
            <w:noWrap/>
            <w:vAlign w:val="center"/>
            <w:hideMark/>
          </w:tcPr>
          <w:p w14:paraId="3D0675A4" w14:textId="77777777" w:rsidR="003C7AE1" w:rsidRPr="00674BB8" w:rsidRDefault="003C7AE1" w:rsidP="003C7AE1">
            <w:pPr>
              <w:spacing w:after="0" w:line="240" w:lineRule="auto"/>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Tribunal de Apelación Civil y Trabajo de la Zona Sur (Pérez Zeledón)</w:t>
            </w:r>
          </w:p>
        </w:tc>
        <w:tc>
          <w:tcPr>
            <w:tcW w:w="468" w:type="pct"/>
            <w:tcBorders>
              <w:top w:val="nil"/>
              <w:left w:val="nil"/>
              <w:bottom w:val="nil"/>
              <w:right w:val="double" w:sz="6" w:space="0" w:color="1F497D"/>
            </w:tcBorders>
            <w:shd w:val="clear" w:color="000000" w:fill="DCE6F1"/>
            <w:noWrap/>
            <w:vAlign w:val="center"/>
            <w:hideMark/>
          </w:tcPr>
          <w:p w14:paraId="3BDBEB7F"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1436</w:t>
            </w:r>
          </w:p>
        </w:tc>
        <w:tc>
          <w:tcPr>
            <w:tcW w:w="468" w:type="pct"/>
            <w:tcBorders>
              <w:top w:val="nil"/>
              <w:left w:val="nil"/>
              <w:bottom w:val="nil"/>
              <w:right w:val="double" w:sz="6" w:space="0" w:color="1F497D"/>
            </w:tcBorders>
            <w:shd w:val="clear" w:color="000000" w:fill="DCE6F1"/>
            <w:noWrap/>
            <w:vAlign w:val="center"/>
            <w:hideMark/>
          </w:tcPr>
          <w:p w14:paraId="7EE64C96"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788</w:t>
            </w:r>
          </w:p>
        </w:tc>
        <w:tc>
          <w:tcPr>
            <w:tcW w:w="444" w:type="pct"/>
            <w:tcBorders>
              <w:top w:val="nil"/>
              <w:left w:val="nil"/>
              <w:bottom w:val="nil"/>
              <w:right w:val="double" w:sz="6" w:space="0" w:color="1F497D"/>
            </w:tcBorders>
            <w:shd w:val="clear" w:color="000000" w:fill="DCE6F1"/>
            <w:noWrap/>
            <w:vAlign w:val="center"/>
            <w:hideMark/>
          </w:tcPr>
          <w:p w14:paraId="64151472"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2224</w:t>
            </w:r>
          </w:p>
        </w:tc>
        <w:tc>
          <w:tcPr>
            <w:tcW w:w="468" w:type="pct"/>
            <w:tcBorders>
              <w:top w:val="nil"/>
              <w:left w:val="nil"/>
              <w:bottom w:val="nil"/>
              <w:right w:val="double" w:sz="6" w:space="0" w:color="1F497D"/>
            </w:tcBorders>
            <w:shd w:val="clear" w:color="000000" w:fill="DCE6F1"/>
            <w:noWrap/>
            <w:vAlign w:val="center"/>
            <w:hideMark/>
          </w:tcPr>
          <w:p w14:paraId="17BE404B"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57</w:t>
            </w:r>
          </w:p>
        </w:tc>
        <w:tc>
          <w:tcPr>
            <w:tcW w:w="437" w:type="pct"/>
            <w:tcBorders>
              <w:top w:val="nil"/>
              <w:left w:val="nil"/>
              <w:bottom w:val="nil"/>
              <w:right w:val="double" w:sz="6" w:space="0" w:color="1F497D"/>
            </w:tcBorders>
            <w:shd w:val="clear" w:color="000000" w:fill="DCE6F1"/>
            <w:noWrap/>
            <w:vAlign w:val="center"/>
            <w:hideMark/>
          </w:tcPr>
          <w:p w14:paraId="78B53FC7"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3</w:t>
            </w:r>
          </w:p>
        </w:tc>
        <w:tc>
          <w:tcPr>
            <w:tcW w:w="468" w:type="pct"/>
            <w:tcBorders>
              <w:top w:val="nil"/>
              <w:left w:val="nil"/>
              <w:bottom w:val="nil"/>
              <w:right w:val="double" w:sz="6" w:space="0" w:color="1F497D"/>
            </w:tcBorders>
            <w:shd w:val="clear" w:color="000000" w:fill="DCE6F1"/>
            <w:noWrap/>
            <w:vAlign w:val="center"/>
            <w:hideMark/>
          </w:tcPr>
          <w:p w14:paraId="5C5CC0E2"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19</w:t>
            </w:r>
          </w:p>
        </w:tc>
      </w:tr>
      <w:tr w:rsidR="003C7AE1" w:rsidRPr="003C7AE1" w14:paraId="50487620" w14:textId="77777777" w:rsidTr="00674BB8">
        <w:trPr>
          <w:trHeight w:val="281"/>
        </w:trPr>
        <w:tc>
          <w:tcPr>
            <w:tcW w:w="2248" w:type="pct"/>
            <w:tcBorders>
              <w:top w:val="double" w:sz="6" w:space="0" w:color="1F497D"/>
              <w:left w:val="double" w:sz="6" w:space="0" w:color="1F497D"/>
              <w:bottom w:val="nil"/>
              <w:right w:val="double" w:sz="6" w:space="0" w:color="1F497D"/>
            </w:tcBorders>
            <w:shd w:val="clear" w:color="auto" w:fill="auto"/>
            <w:noWrap/>
            <w:vAlign w:val="center"/>
            <w:hideMark/>
          </w:tcPr>
          <w:p w14:paraId="2B308FD7" w14:textId="77777777" w:rsidR="003C7AE1" w:rsidRPr="00674BB8" w:rsidRDefault="003C7AE1" w:rsidP="003C7AE1">
            <w:pPr>
              <w:spacing w:after="0" w:line="240" w:lineRule="auto"/>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 xml:space="preserve">Tribunal de Apelación Civil y Trabajo de Alajuela </w:t>
            </w:r>
          </w:p>
        </w:tc>
        <w:tc>
          <w:tcPr>
            <w:tcW w:w="468" w:type="pct"/>
            <w:tcBorders>
              <w:top w:val="double" w:sz="6" w:space="0" w:color="1F497D"/>
              <w:left w:val="nil"/>
              <w:bottom w:val="nil"/>
              <w:right w:val="double" w:sz="6" w:space="0" w:color="1F497D"/>
            </w:tcBorders>
            <w:shd w:val="clear" w:color="auto" w:fill="auto"/>
            <w:noWrap/>
            <w:vAlign w:val="center"/>
            <w:hideMark/>
          </w:tcPr>
          <w:p w14:paraId="010B07F2"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3714</w:t>
            </w:r>
          </w:p>
        </w:tc>
        <w:tc>
          <w:tcPr>
            <w:tcW w:w="468" w:type="pct"/>
            <w:tcBorders>
              <w:top w:val="double" w:sz="6" w:space="0" w:color="1F497D"/>
              <w:left w:val="nil"/>
              <w:bottom w:val="nil"/>
              <w:right w:val="double" w:sz="6" w:space="0" w:color="1F497D"/>
            </w:tcBorders>
            <w:shd w:val="clear" w:color="auto" w:fill="auto"/>
            <w:noWrap/>
            <w:vAlign w:val="center"/>
            <w:hideMark/>
          </w:tcPr>
          <w:p w14:paraId="1F3C846A"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2272</w:t>
            </w:r>
          </w:p>
        </w:tc>
        <w:tc>
          <w:tcPr>
            <w:tcW w:w="444" w:type="pct"/>
            <w:tcBorders>
              <w:top w:val="double" w:sz="6" w:space="0" w:color="1F497D"/>
              <w:left w:val="nil"/>
              <w:bottom w:val="nil"/>
              <w:right w:val="double" w:sz="6" w:space="0" w:color="1F497D"/>
            </w:tcBorders>
            <w:shd w:val="clear" w:color="auto" w:fill="auto"/>
            <w:noWrap/>
            <w:vAlign w:val="center"/>
            <w:hideMark/>
          </w:tcPr>
          <w:p w14:paraId="6FB0A482"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5986</w:t>
            </w:r>
          </w:p>
        </w:tc>
        <w:tc>
          <w:tcPr>
            <w:tcW w:w="468" w:type="pct"/>
            <w:tcBorders>
              <w:top w:val="double" w:sz="6" w:space="0" w:color="1F497D"/>
              <w:left w:val="nil"/>
              <w:bottom w:val="nil"/>
              <w:right w:val="double" w:sz="6" w:space="0" w:color="1F497D"/>
            </w:tcBorders>
            <w:shd w:val="clear" w:color="auto" w:fill="auto"/>
            <w:noWrap/>
            <w:vAlign w:val="center"/>
            <w:hideMark/>
          </w:tcPr>
          <w:p w14:paraId="66A3F7F0"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153</w:t>
            </w:r>
          </w:p>
        </w:tc>
        <w:tc>
          <w:tcPr>
            <w:tcW w:w="437" w:type="pct"/>
            <w:tcBorders>
              <w:top w:val="double" w:sz="6" w:space="0" w:color="1F497D"/>
              <w:left w:val="nil"/>
              <w:bottom w:val="nil"/>
              <w:right w:val="double" w:sz="6" w:space="0" w:color="1F497D"/>
            </w:tcBorders>
            <w:shd w:val="clear" w:color="auto" w:fill="auto"/>
            <w:noWrap/>
            <w:vAlign w:val="center"/>
            <w:hideMark/>
          </w:tcPr>
          <w:p w14:paraId="3B6B9937"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6</w:t>
            </w:r>
          </w:p>
        </w:tc>
        <w:tc>
          <w:tcPr>
            <w:tcW w:w="468" w:type="pct"/>
            <w:tcBorders>
              <w:top w:val="double" w:sz="6" w:space="0" w:color="1F497D"/>
              <w:left w:val="nil"/>
              <w:bottom w:val="nil"/>
              <w:right w:val="double" w:sz="6" w:space="0" w:color="1F497D"/>
            </w:tcBorders>
            <w:shd w:val="clear" w:color="auto" w:fill="auto"/>
            <w:noWrap/>
            <w:vAlign w:val="center"/>
            <w:hideMark/>
          </w:tcPr>
          <w:p w14:paraId="29E1A375"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25</w:t>
            </w:r>
          </w:p>
        </w:tc>
      </w:tr>
      <w:tr w:rsidR="003C7AE1" w:rsidRPr="003C7AE1" w14:paraId="6A1F8FC9" w14:textId="77777777" w:rsidTr="00674BB8">
        <w:trPr>
          <w:trHeight w:val="281"/>
        </w:trPr>
        <w:tc>
          <w:tcPr>
            <w:tcW w:w="2248" w:type="pct"/>
            <w:tcBorders>
              <w:top w:val="double" w:sz="6" w:space="0" w:color="1F497D"/>
              <w:left w:val="double" w:sz="6" w:space="0" w:color="1F497D"/>
              <w:bottom w:val="nil"/>
              <w:right w:val="double" w:sz="6" w:space="0" w:color="1F497D"/>
            </w:tcBorders>
            <w:shd w:val="clear" w:color="000000" w:fill="DCE6F1"/>
            <w:noWrap/>
            <w:vAlign w:val="center"/>
            <w:hideMark/>
          </w:tcPr>
          <w:p w14:paraId="06E8936D" w14:textId="77777777" w:rsidR="003C7AE1" w:rsidRPr="00674BB8" w:rsidRDefault="003C7AE1" w:rsidP="003C7AE1">
            <w:pPr>
              <w:spacing w:after="0" w:line="240" w:lineRule="auto"/>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Tribunal de Apelación Civil y Trabajo de Cartago</w:t>
            </w:r>
          </w:p>
        </w:tc>
        <w:tc>
          <w:tcPr>
            <w:tcW w:w="468" w:type="pct"/>
            <w:tcBorders>
              <w:top w:val="double" w:sz="6" w:space="0" w:color="1F497D"/>
              <w:left w:val="nil"/>
              <w:bottom w:val="nil"/>
              <w:right w:val="double" w:sz="6" w:space="0" w:color="1F497D"/>
            </w:tcBorders>
            <w:shd w:val="clear" w:color="000000" w:fill="DCE6F1"/>
            <w:noWrap/>
            <w:vAlign w:val="center"/>
            <w:hideMark/>
          </w:tcPr>
          <w:p w14:paraId="236C825C"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1219</w:t>
            </w:r>
          </w:p>
        </w:tc>
        <w:tc>
          <w:tcPr>
            <w:tcW w:w="468" w:type="pct"/>
            <w:tcBorders>
              <w:top w:val="double" w:sz="6" w:space="0" w:color="1F497D"/>
              <w:left w:val="nil"/>
              <w:bottom w:val="nil"/>
              <w:right w:val="double" w:sz="6" w:space="0" w:color="1F497D"/>
            </w:tcBorders>
            <w:shd w:val="clear" w:color="000000" w:fill="DCE6F1"/>
            <w:noWrap/>
            <w:vAlign w:val="center"/>
            <w:hideMark/>
          </w:tcPr>
          <w:p w14:paraId="14D1BB06"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1483</w:t>
            </w:r>
          </w:p>
        </w:tc>
        <w:tc>
          <w:tcPr>
            <w:tcW w:w="444" w:type="pct"/>
            <w:tcBorders>
              <w:top w:val="double" w:sz="6" w:space="0" w:color="1F497D"/>
              <w:left w:val="nil"/>
              <w:bottom w:val="nil"/>
              <w:right w:val="double" w:sz="6" w:space="0" w:color="1F497D"/>
            </w:tcBorders>
            <w:shd w:val="clear" w:color="000000" w:fill="DCE6F1"/>
            <w:noWrap/>
            <w:vAlign w:val="center"/>
            <w:hideMark/>
          </w:tcPr>
          <w:p w14:paraId="4D00801D"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2702</w:t>
            </w:r>
          </w:p>
        </w:tc>
        <w:tc>
          <w:tcPr>
            <w:tcW w:w="468" w:type="pct"/>
            <w:tcBorders>
              <w:top w:val="double" w:sz="6" w:space="0" w:color="1F497D"/>
              <w:left w:val="nil"/>
              <w:bottom w:val="nil"/>
              <w:right w:val="double" w:sz="6" w:space="0" w:color="1F497D"/>
            </w:tcBorders>
            <w:shd w:val="clear" w:color="000000" w:fill="DCE6F1"/>
            <w:noWrap/>
            <w:vAlign w:val="center"/>
            <w:hideMark/>
          </w:tcPr>
          <w:p w14:paraId="273FB573"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69</w:t>
            </w:r>
          </w:p>
        </w:tc>
        <w:tc>
          <w:tcPr>
            <w:tcW w:w="437" w:type="pct"/>
            <w:tcBorders>
              <w:top w:val="double" w:sz="6" w:space="0" w:color="1F497D"/>
              <w:left w:val="nil"/>
              <w:bottom w:val="nil"/>
              <w:right w:val="double" w:sz="6" w:space="0" w:color="1F497D"/>
            </w:tcBorders>
            <w:shd w:val="clear" w:color="000000" w:fill="DCE6F1"/>
            <w:noWrap/>
            <w:vAlign w:val="center"/>
            <w:hideMark/>
          </w:tcPr>
          <w:p w14:paraId="5220B93E"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3</w:t>
            </w:r>
          </w:p>
        </w:tc>
        <w:tc>
          <w:tcPr>
            <w:tcW w:w="468" w:type="pct"/>
            <w:tcBorders>
              <w:top w:val="double" w:sz="6" w:space="0" w:color="1F497D"/>
              <w:left w:val="nil"/>
              <w:bottom w:val="nil"/>
              <w:right w:val="double" w:sz="6" w:space="0" w:color="1F497D"/>
            </w:tcBorders>
            <w:shd w:val="clear" w:color="000000" w:fill="DCE6F1"/>
            <w:noWrap/>
            <w:vAlign w:val="center"/>
            <w:hideMark/>
          </w:tcPr>
          <w:p w14:paraId="4C6F6FC4"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23</w:t>
            </w:r>
          </w:p>
        </w:tc>
      </w:tr>
      <w:tr w:rsidR="003C7AE1" w:rsidRPr="003C7AE1" w14:paraId="1103013D" w14:textId="77777777" w:rsidTr="00674BB8">
        <w:trPr>
          <w:trHeight w:val="281"/>
        </w:trPr>
        <w:tc>
          <w:tcPr>
            <w:tcW w:w="2248" w:type="pct"/>
            <w:tcBorders>
              <w:top w:val="double" w:sz="6" w:space="0" w:color="1F497D"/>
              <w:left w:val="double" w:sz="6" w:space="0" w:color="1F497D"/>
              <w:bottom w:val="nil"/>
              <w:right w:val="double" w:sz="6" w:space="0" w:color="1F497D"/>
            </w:tcBorders>
            <w:shd w:val="clear" w:color="auto" w:fill="auto"/>
            <w:noWrap/>
            <w:vAlign w:val="center"/>
            <w:hideMark/>
          </w:tcPr>
          <w:p w14:paraId="57DC0D33" w14:textId="77777777" w:rsidR="003C7AE1" w:rsidRPr="00674BB8" w:rsidRDefault="003C7AE1" w:rsidP="003C7AE1">
            <w:pPr>
              <w:spacing w:after="0" w:line="240" w:lineRule="auto"/>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Tribunal de Apelación Civil y Trabajo de Heredia</w:t>
            </w:r>
          </w:p>
        </w:tc>
        <w:tc>
          <w:tcPr>
            <w:tcW w:w="468" w:type="pct"/>
            <w:tcBorders>
              <w:top w:val="double" w:sz="6" w:space="0" w:color="1F497D"/>
              <w:left w:val="nil"/>
              <w:bottom w:val="nil"/>
              <w:right w:val="double" w:sz="6" w:space="0" w:color="1F497D"/>
            </w:tcBorders>
            <w:shd w:val="clear" w:color="auto" w:fill="auto"/>
            <w:noWrap/>
            <w:vAlign w:val="center"/>
            <w:hideMark/>
          </w:tcPr>
          <w:p w14:paraId="2FF34F0C"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1594</w:t>
            </w:r>
          </w:p>
        </w:tc>
        <w:tc>
          <w:tcPr>
            <w:tcW w:w="468" w:type="pct"/>
            <w:tcBorders>
              <w:top w:val="double" w:sz="6" w:space="0" w:color="1F497D"/>
              <w:left w:val="nil"/>
              <w:bottom w:val="nil"/>
              <w:right w:val="double" w:sz="6" w:space="0" w:color="1F497D"/>
            </w:tcBorders>
            <w:shd w:val="clear" w:color="auto" w:fill="auto"/>
            <w:noWrap/>
            <w:vAlign w:val="center"/>
            <w:hideMark/>
          </w:tcPr>
          <w:p w14:paraId="242C39F5"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1539</w:t>
            </w:r>
          </w:p>
        </w:tc>
        <w:tc>
          <w:tcPr>
            <w:tcW w:w="444" w:type="pct"/>
            <w:tcBorders>
              <w:top w:val="double" w:sz="6" w:space="0" w:color="1F497D"/>
              <w:left w:val="nil"/>
              <w:bottom w:val="nil"/>
              <w:right w:val="double" w:sz="6" w:space="0" w:color="1F497D"/>
            </w:tcBorders>
            <w:shd w:val="clear" w:color="auto" w:fill="auto"/>
            <w:noWrap/>
            <w:vAlign w:val="center"/>
            <w:hideMark/>
          </w:tcPr>
          <w:p w14:paraId="4FB82121"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3133</w:t>
            </w:r>
          </w:p>
        </w:tc>
        <w:tc>
          <w:tcPr>
            <w:tcW w:w="468" w:type="pct"/>
            <w:tcBorders>
              <w:top w:val="double" w:sz="6" w:space="0" w:color="1F497D"/>
              <w:left w:val="nil"/>
              <w:bottom w:val="nil"/>
              <w:right w:val="double" w:sz="6" w:space="0" w:color="1F497D"/>
            </w:tcBorders>
            <w:shd w:val="clear" w:color="auto" w:fill="auto"/>
            <w:noWrap/>
            <w:vAlign w:val="center"/>
            <w:hideMark/>
          </w:tcPr>
          <w:p w14:paraId="65DBC082"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80</w:t>
            </w:r>
          </w:p>
        </w:tc>
        <w:tc>
          <w:tcPr>
            <w:tcW w:w="437" w:type="pct"/>
            <w:tcBorders>
              <w:top w:val="double" w:sz="6" w:space="0" w:color="1F497D"/>
              <w:left w:val="nil"/>
              <w:bottom w:val="nil"/>
              <w:right w:val="double" w:sz="6" w:space="0" w:color="1F497D"/>
            </w:tcBorders>
            <w:shd w:val="clear" w:color="auto" w:fill="auto"/>
            <w:noWrap/>
            <w:vAlign w:val="center"/>
            <w:hideMark/>
          </w:tcPr>
          <w:p w14:paraId="3A752D0B"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3</w:t>
            </w:r>
          </w:p>
        </w:tc>
        <w:tc>
          <w:tcPr>
            <w:tcW w:w="468" w:type="pct"/>
            <w:tcBorders>
              <w:top w:val="double" w:sz="6" w:space="0" w:color="1F497D"/>
              <w:left w:val="nil"/>
              <w:bottom w:val="nil"/>
              <w:right w:val="double" w:sz="6" w:space="0" w:color="1F497D"/>
            </w:tcBorders>
            <w:shd w:val="clear" w:color="auto" w:fill="auto"/>
            <w:noWrap/>
            <w:vAlign w:val="center"/>
            <w:hideMark/>
          </w:tcPr>
          <w:p w14:paraId="3C4DD577"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27</w:t>
            </w:r>
          </w:p>
        </w:tc>
      </w:tr>
      <w:tr w:rsidR="003C7AE1" w:rsidRPr="003C7AE1" w14:paraId="260E35F5" w14:textId="77777777" w:rsidTr="00674BB8">
        <w:trPr>
          <w:trHeight w:val="281"/>
        </w:trPr>
        <w:tc>
          <w:tcPr>
            <w:tcW w:w="2248" w:type="pct"/>
            <w:tcBorders>
              <w:top w:val="double" w:sz="6" w:space="0" w:color="1F497D"/>
              <w:left w:val="double" w:sz="6" w:space="0" w:color="1F497D"/>
              <w:bottom w:val="nil"/>
              <w:right w:val="double" w:sz="6" w:space="0" w:color="1F497D"/>
            </w:tcBorders>
            <w:shd w:val="clear" w:color="000000" w:fill="DCE6F1"/>
            <w:noWrap/>
            <w:vAlign w:val="center"/>
            <w:hideMark/>
          </w:tcPr>
          <w:p w14:paraId="3B532DD1" w14:textId="77777777" w:rsidR="003C7AE1" w:rsidRPr="00674BB8" w:rsidRDefault="003C7AE1" w:rsidP="003C7AE1">
            <w:pPr>
              <w:spacing w:after="0" w:line="240" w:lineRule="auto"/>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 xml:space="preserve">Tribunal de Apelación Civil y Trabajo de Guanacaste (Liberia)  </w:t>
            </w:r>
          </w:p>
        </w:tc>
        <w:tc>
          <w:tcPr>
            <w:tcW w:w="468" w:type="pct"/>
            <w:tcBorders>
              <w:top w:val="double" w:sz="6" w:space="0" w:color="1F497D"/>
              <w:left w:val="nil"/>
              <w:bottom w:val="nil"/>
              <w:right w:val="double" w:sz="6" w:space="0" w:color="1F497D"/>
            </w:tcBorders>
            <w:shd w:val="clear" w:color="000000" w:fill="DCE6F1"/>
            <w:noWrap/>
            <w:vAlign w:val="center"/>
            <w:hideMark/>
          </w:tcPr>
          <w:p w14:paraId="01118EA9"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1006</w:t>
            </w:r>
          </w:p>
        </w:tc>
        <w:tc>
          <w:tcPr>
            <w:tcW w:w="468" w:type="pct"/>
            <w:tcBorders>
              <w:top w:val="double" w:sz="6" w:space="0" w:color="1F497D"/>
              <w:left w:val="nil"/>
              <w:bottom w:val="nil"/>
              <w:right w:val="double" w:sz="6" w:space="0" w:color="1F497D"/>
            </w:tcBorders>
            <w:shd w:val="clear" w:color="000000" w:fill="DCE6F1"/>
            <w:noWrap/>
            <w:vAlign w:val="center"/>
            <w:hideMark/>
          </w:tcPr>
          <w:p w14:paraId="199A93CE"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937</w:t>
            </w:r>
          </w:p>
        </w:tc>
        <w:tc>
          <w:tcPr>
            <w:tcW w:w="444" w:type="pct"/>
            <w:tcBorders>
              <w:top w:val="double" w:sz="6" w:space="0" w:color="1F497D"/>
              <w:left w:val="nil"/>
              <w:bottom w:val="nil"/>
              <w:right w:val="double" w:sz="6" w:space="0" w:color="1F497D"/>
            </w:tcBorders>
            <w:shd w:val="clear" w:color="000000" w:fill="DCE6F1"/>
            <w:noWrap/>
            <w:vAlign w:val="center"/>
            <w:hideMark/>
          </w:tcPr>
          <w:p w14:paraId="5A251855"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1943</w:t>
            </w:r>
          </w:p>
        </w:tc>
        <w:tc>
          <w:tcPr>
            <w:tcW w:w="468" w:type="pct"/>
            <w:tcBorders>
              <w:top w:val="double" w:sz="6" w:space="0" w:color="1F497D"/>
              <w:left w:val="nil"/>
              <w:bottom w:val="nil"/>
              <w:right w:val="double" w:sz="6" w:space="0" w:color="1F497D"/>
            </w:tcBorders>
            <w:shd w:val="clear" w:color="000000" w:fill="DCE6F1"/>
            <w:noWrap/>
            <w:vAlign w:val="center"/>
            <w:hideMark/>
          </w:tcPr>
          <w:p w14:paraId="5C2359B2"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50</w:t>
            </w:r>
          </w:p>
        </w:tc>
        <w:tc>
          <w:tcPr>
            <w:tcW w:w="437" w:type="pct"/>
            <w:tcBorders>
              <w:top w:val="double" w:sz="6" w:space="0" w:color="1F497D"/>
              <w:left w:val="nil"/>
              <w:bottom w:val="nil"/>
              <w:right w:val="double" w:sz="6" w:space="0" w:color="1F497D"/>
            </w:tcBorders>
            <w:shd w:val="clear" w:color="000000" w:fill="DCE6F1"/>
            <w:noWrap/>
            <w:vAlign w:val="center"/>
            <w:hideMark/>
          </w:tcPr>
          <w:p w14:paraId="5334D788"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3</w:t>
            </w:r>
          </w:p>
        </w:tc>
        <w:tc>
          <w:tcPr>
            <w:tcW w:w="468" w:type="pct"/>
            <w:tcBorders>
              <w:top w:val="double" w:sz="6" w:space="0" w:color="1F497D"/>
              <w:left w:val="nil"/>
              <w:bottom w:val="nil"/>
              <w:right w:val="double" w:sz="6" w:space="0" w:color="1F497D"/>
            </w:tcBorders>
            <w:shd w:val="clear" w:color="000000" w:fill="DCE6F1"/>
            <w:noWrap/>
            <w:vAlign w:val="center"/>
            <w:hideMark/>
          </w:tcPr>
          <w:p w14:paraId="2D3D5C64"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17</w:t>
            </w:r>
          </w:p>
        </w:tc>
      </w:tr>
      <w:tr w:rsidR="003C7AE1" w:rsidRPr="003C7AE1" w14:paraId="17A3586D" w14:textId="77777777" w:rsidTr="00674BB8">
        <w:trPr>
          <w:trHeight w:val="281"/>
        </w:trPr>
        <w:tc>
          <w:tcPr>
            <w:tcW w:w="2248" w:type="pct"/>
            <w:tcBorders>
              <w:top w:val="double" w:sz="6" w:space="0" w:color="1F497D"/>
              <w:left w:val="double" w:sz="6" w:space="0" w:color="1F497D"/>
              <w:bottom w:val="double" w:sz="6" w:space="0" w:color="1F497D"/>
              <w:right w:val="double" w:sz="6" w:space="0" w:color="1F497D"/>
            </w:tcBorders>
            <w:shd w:val="clear" w:color="auto" w:fill="auto"/>
            <w:noWrap/>
            <w:vAlign w:val="center"/>
            <w:hideMark/>
          </w:tcPr>
          <w:p w14:paraId="0A38B260" w14:textId="77777777" w:rsidR="003C7AE1" w:rsidRPr="00674BB8" w:rsidRDefault="003C7AE1" w:rsidP="003C7AE1">
            <w:pPr>
              <w:spacing w:after="0" w:line="240" w:lineRule="auto"/>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 xml:space="preserve">Tribunal de Apelación Civil y Trabajo de Puntarenas  </w:t>
            </w:r>
          </w:p>
        </w:tc>
        <w:tc>
          <w:tcPr>
            <w:tcW w:w="468" w:type="pct"/>
            <w:tcBorders>
              <w:top w:val="double" w:sz="6" w:space="0" w:color="1F497D"/>
              <w:left w:val="nil"/>
              <w:bottom w:val="double" w:sz="6" w:space="0" w:color="1F497D"/>
              <w:right w:val="double" w:sz="6" w:space="0" w:color="1F497D"/>
            </w:tcBorders>
            <w:shd w:val="clear" w:color="auto" w:fill="auto"/>
            <w:noWrap/>
            <w:vAlign w:val="center"/>
            <w:hideMark/>
          </w:tcPr>
          <w:p w14:paraId="3C1FD375"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982</w:t>
            </w:r>
          </w:p>
        </w:tc>
        <w:tc>
          <w:tcPr>
            <w:tcW w:w="468" w:type="pct"/>
            <w:tcBorders>
              <w:top w:val="double" w:sz="6" w:space="0" w:color="1F497D"/>
              <w:left w:val="nil"/>
              <w:bottom w:val="double" w:sz="6" w:space="0" w:color="1F497D"/>
              <w:right w:val="double" w:sz="6" w:space="0" w:color="1F497D"/>
            </w:tcBorders>
            <w:shd w:val="clear" w:color="auto" w:fill="auto"/>
            <w:noWrap/>
            <w:vAlign w:val="center"/>
            <w:hideMark/>
          </w:tcPr>
          <w:p w14:paraId="2C000D64"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941</w:t>
            </w:r>
          </w:p>
        </w:tc>
        <w:tc>
          <w:tcPr>
            <w:tcW w:w="444" w:type="pct"/>
            <w:tcBorders>
              <w:top w:val="double" w:sz="6" w:space="0" w:color="1F497D"/>
              <w:left w:val="nil"/>
              <w:bottom w:val="double" w:sz="6" w:space="0" w:color="1F497D"/>
              <w:right w:val="double" w:sz="6" w:space="0" w:color="1F497D"/>
            </w:tcBorders>
            <w:shd w:val="clear" w:color="auto" w:fill="auto"/>
            <w:noWrap/>
            <w:vAlign w:val="center"/>
            <w:hideMark/>
          </w:tcPr>
          <w:p w14:paraId="190E7FA9"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1923</w:t>
            </w:r>
          </w:p>
        </w:tc>
        <w:tc>
          <w:tcPr>
            <w:tcW w:w="468" w:type="pct"/>
            <w:tcBorders>
              <w:top w:val="double" w:sz="6" w:space="0" w:color="1F497D"/>
              <w:left w:val="nil"/>
              <w:bottom w:val="double" w:sz="6" w:space="0" w:color="1F497D"/>
              <w:right w:val="double" w:sz="6" w:space="0" w:color="1F497D"/>
            </w:tcBorders>
            <w:shd w:val="clear" w:color="auto" w:fill="auto"/>
            <w:noWrap/>
            <w:vAlign w:val="center"/>
            <w:hideMark/>
          </w:tcPr>
          <w:p w14:paraId="5C443110"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49</w:t>
            </w:r>
          </w:p>
        </w:tc>
        <w:tc>
          <w:tcPr>
            <w:tcW w:w="437" w:type="pct"/>
            <w:tcBorders>
              <w:top w:val="double" w:sz="6" w:space="0" w:color="1F497D"/>
              <w:left w:val="nil"/>
              <w:bottom w:val="double" w:sz="6" w:space="0" w:color="1F497D"/>
              <w:right w:val="double" w:sz="6" w:space="0" w:color="1F497D"/>
            </w:tcBorders>
            <w:shd w:val="clear" w:color="auto" w:fill="auto"/>
            <w:noWrap/>
            <w:vAlign w:val="center"/>
            <w:hideMark/>
          </w:tcPr>
          <w:p w14:paraId="3F1B1545"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3</w:t>
            </w:r>
          </w:p>
        </w:tc>
        <w:tc>
          <w:tcPr>
            <w:tcW w:w="468" w:type="pct"/>
            <w:tcBorders>
              <w:top w:val="double" w:sz="6" w:space="0" w:color="1F497D"/>
              <w:left w:val="nil"/>
              <w:bottom w:val="double" w:sz="6" w:space="0" w:color="1F497D"/>
              <w:right w:val="double" w:sz="6" w:space="0" w:color="1F497D"/>
            </w:tcBorders>
            <w:shd w:val="clear" w:color="auto" w:fill="auto"/>
            <w:noWrap/>
            <w:vAlign w:val="center"/>
            <w:hideMark/>
          </w:tcPr>
          <w:p w14:paraId="0D0BC579"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16</w:t>
            </w:r>
          </w:p>
        </w:tc>
      </w:tr>
      <w:tr w:rsidR="003C7AE1" w:rsidRPr="003C7AE1" w14:paraId="7CC381D9" w14:textId="77777777" w:rsidTr="00674BB8">
        <w:trPr>
          <w:trHeight w:val="281"/>
        </w:trPr>
        <w:tc>
          <w:tcPr>
            <w:tcW w:w="2248" w:type="pct"/>
            <w:tcBorders>
              <w:top w:val="nil"/>
              <w:left w:val="double" w:sz="6" w:space="0" w:color="1F497D"/>
              <w:bottom w:val="double" w:sz="6" w:space="0" w:color="1F497D"/>
              <w:right w:val="double" w:sz="6" w:space="0" w:color="1F497D"/>
            </w:tcBorders>
            <w:shd w:val="clear" w:color="000000" w:fill="DCE6F1"/>
            <w:noWrap/>
            <w:vAlign w:val="center"/>
            <w:hideMark/>
          </w:tcPr>
          <w:p w14:paraId="7083FA2D" w14:textId="77777777" w:rsidR="003C7AE1" w:rsidRPr="00674BB8" w:rsidRDefault="003C7AE1" w:rsidP="003C7AE1">
            <w:pPr>
              <w:spacing w:after="0" w:line="240" w:lineRule="auto"/>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Tribunal de Apelación Civil y Trabajo de la Zona Atlántica (Limón)</w:t>
            </w:r>
          </w:p>
        </w:tc>
        <w:tc>
          <w:tcPr>
            <w:tcW w:w="468" w:type="pct"/>
            <w:tcBorders>
              <w:top w:val="nil"/>
              <w:left w:val="nil"/>
              <w:bottom w:val="double" w:sz="6" w:space="0" w:color="1F497D"/>
              <w:right w:val="double" w:sz="6" w:space="0" w:color="1F497D"/>
            </w:tcBorders>
            <w:shd w:val="clear" w:color="000000" w:fill="DCE6F1"/>
            <w:noWrap/>
            <w:vAlign w:val="center"/>
            <w:hideMark/>
          </w:tcPr>
          <w:p w14:paraId="1221937A"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999</w:t>
            </w:r>
          </w:p>
        </w:tc>
        <w:tc>
          <w:tcPr>
            <w:tcW w:w="468" w:type="pct"/>
            <w:tcBorders>
              <w:top w:val="nil"/>
              <w:left w:val="nil"/>
              <w:bottom w:val="double" w:sz="6" w:space="0" w:color="1F497D"/>
              <w:right w:val="double" w:sz="6" w:space="0" w:color="1F497D"/>
            </w:tcBorders>
            <w:shd w:val="clear" w:color="000000" w:fill="DCE6F1"/>
            <w:noWrap/>
            <w:vAlign w:val="center"/>
            <w:hideMark/>
          </w:tcPr>
          <w:p w14:paraId="2D235E01"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1317</w:t>
            </w:r>
          </w:p>
        </w:tc>
        <w:tc>
          <w:tcPr>
            <w:tcW w:w="444" w:type="pct"/>
            <w:tcBorders>
              <w:top w:val="nil"/>
              <w:left w:val="nil"/>
              <w:bottom w:val="double" w:sz="6" w:space="0" w:color="1F497D"/>
              <w:right w:val="double" w:sz="6" w:space="0" w:color="1F497D"/>
            </w:tcBorders>
            <w:shd w:val="clear" w:color="000000" w:fill="DCE6F1"/>
            <w:noWrap/>
            <w:vAlign w:val="center"/>
            <w:hideMark/>
          </w:tcPr>
          <w:p w14:paraId="40DA060F"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2316</w:t>
            </w:r>
          </w:p>
        </w:tc>
        <w:tc>
          <w:tcPr>
            <w:tcW w:w="468" w:type="pct"/>
            <w:tcBorders>
              <w:top w:val="nil"/>
              <w:left w:val="nil"/>
              <w:bottom w:val="double" w:sz="6" w:space="0" w:color="1F497D"/>
              <w:right w:val="double" w:sz="6" w:space="0" w:color="1F497D"/>
            </w:tcBorders>
            <w:shd w:val="clear" w:color="000000" w:fill="DCE6F1"/>
            <w:noWrap/>
            <w:vAlign w:val="center"/>
            <w:hideMark/>
          </w:tcPr>
          <w:p w14:paraId="0727420C"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59</w:t>
            </w:r>
          </w:p>
        </w:tc>
        <w:tc>
          <w:tcPr>
            <w:tcW w:w="437" w:type="pct"/>
            <w:tcBorders>
              <w:top w:val="nil"/>
              <w:left w:val="nil"/>
              <w:bottom w:val="double" w:sz="6" w:space="0" w:color="1F497D"/>
              <w:right w:val="double" w:sz="6" w:space="0" w:color="1F497D"/>
            </w:tcBorders>
            <w:shd w:val="clear" w:color="000000" w:fill="DCE6F1"/>
            <w:noWrap/>
            <w:vAlign w:val="center"/>
            <w:hideMark/>
          </w:tcPr>
          <w:p w14:paraId="081D7C9C"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4</w:t>
            </w:r>
          </w:p>
        </w:tc>
        <w:tc>
          <w:tcPr>
            <w:tcW w:w="468" w:type="pct"/>
            <w:tcBorders>
              <w:top w:val="nil"/>
              <w:left w:val="nil"/>
              <w:bottom w:val="double" w:sz="6" w:space="0" w:color="1F497D"/>
              <w:right w:val="double" w:sz="6" w:space="0" w:color="1F497D"/>
            </w:tcBorders>
            <w:shd w:val="clear" w:color="000000" w:fill="DCE6F1"/>
            <w:noWrap/>
            <w:vAlign w:val="center"/>
            <w:hideMark/>
          </w:tcPr>
          <w:p w14:paraId="6E4233A0" w14:textId="77777777" w:rsidR="003C7AE1" w:rsidRPr="00674BB8" w:rsidRDefault="003C7AE1" w:rsidP="003C7AE1">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15</w:t>
            </w:r>
          </w:p>
        </w:tc>
      </w:tr>
    </w:tbl>
    <w:p w14:paraId="1284C76E" w14:textId="332F23C6" w:rsidR="00DB7D93" w:rsidRPr="00410ED4" w:rsidRDefault="00DB7D93" w:rsidP="00DB7D93">
      <w:pPr>
        <w:jc w:val="both"/>
        <w:rPr>
          <w:rFonts w:ascii="Book Antiqua" w:hAnsi="Book Antiqua"/>
          <w:b/>
          <w:i/>
          <w:sz w:val="20"/>
        </w:rPr>
      </w:pPr>
      <w:r w:rsidRPr="00410ED4">
        <w:rPr>
          <w:rFonts w:ascii="Book Antiqua" w:hAnsi="Book Antiqua"/>
          <w:b/>
          <w:i/>
          <w:sz w:val="20"/>
        </w:rPr>
        <w:t xml:space="preserve">Fuente: </w:t>
      </w:r>
      <w:r w:rsidR="003C7AE1" w:rsidRPr="006602D9">
        <w:rPr>
          <w:rFonts w:ascii="Book Antiqua" w:hAnsi="Book Antiqua"/>
          <w:bCs/>
          <w:i/>
          <w:sz w:val="20"/>
        </w:rPr>
        <w:t>Anuario Estadístico Judicial 2018, 2019, 2020, los datos del primer semestre del 2021 son datos obtenidos de SIGMA.</w:t>
      </w:r>
    </w:p>
    <w:p w14:paraId="206A8348" w14:textId="636B26DB" w:rsidR="004150A7" w:rsidRDefault="004150A7" w:rsidP="0060505C">
      <w:pPr>
        <w:spacing w:line="276" w:lineRule="auto"/>
        <w:jc w:val="both"/>
        <w:rPr>
          <w:rFonts w:ascii="Book Antiqua" w:hAnsi="Book Antiqua"/>
        </w:rPr>
      </w:pPr>
      <w:r>
        <w:rPr>
          <w:rFonts w:ascii="Book Antiqua" w:hAnsi="Book Antiqua"/>
        </w:rPr>
        <w:t xml:space="preserve">Del </w:t>
      </w:r>
      <w:r w:rsidR="00C32F18">
        <w:rPr>
          <w:rFonts w:ascii="Book Antiqua" w:hAnsi="Book Antiqua"/>
        </w:rPr>
        <w:t>análisis</w:t>
      </w:r>
      <w:r w:rsidR="00BC6FFE">
        <w:rPr>
          <w:rFonts w:ascii="Book Antiqua" w:hAnsi="Book Antiqua"/>
        </w:rPr>
        <w:t xml:space="preserve"> realizado </w:t>
      </w:r>
      <w:r w:rsidR="00C34020">
        <w:rPr>
          <w:rFonts w:ascii="Book Antiqua" w:hAnsi="Book Antiqua"/>
        </w:rPr>
        <w:t xml:space="preserve">se </w:t>
      </w:r>
      <w:r w:rsidR="00823547">
        <w:rPr>
          <w:rFonts w:ascii="Book Antiqua" w:hAnsi="Book Antiqua"/>
        </w:rPr>
        <w:t>identifica</w:t>
      </w:r>
      <w:r w:rsidR="00C34020">
        <w:rPr>
          <w:rFonts w:ascii="Book Antiqua" w:hAnsi="Book Antiqua"/>
        </w:rPr>
        <w:t xml:space="preserve"> que </w:t>
      </w:r>
      <w:r>
        <w:rPr>
          <w:rFonts w:ascii="Book Antiqua" w:hAnsi="Book Antiqua"/>
        </w:rPr>
        <w:t>el 5</w:t>
      </w:r>
      <w:r w:rsidR="00910F30">
        <w:rPr>
          <w:rFonts w:ascii="Book Antiqua" w:hAnsi="Book Antiqua"/>
        </w:rPr>
        <w:t>4</w:t>
      </w:r>
      <w:r>
        <w:rPr>
          <w:rFonts w:ascii="Book Antiqua" w:hAnsi="Book Antiqua"/>
        </w:rPr>
        <w:t xml:space="preserve">% de los asuntos terminados corresponden a materia Civil, en el que </w:t>
      </w:r>
      <w:r w:rsidR="00910F30">
        <w:rPr>
          <w:rFonts w:ascii="Book Antiqua" w:hAnsi="Book Antiqua"/>
        </w:rPr>
        <w:t>46</w:t>
      </w:r>
      <w:r w:rsidR="00C34020">
        <w:rPr>
          <w:rFonts w:ascii="Book Antiqua" w:hAnsi="Book Antiqua"/>
        </w:rPr>
        <w:t xml:space="preserve">% de materia Laboral, </w:t>
      </w:r>
      <w:r w:rsidR="005D5BFF">
        <w:rPr>
          <w:rFonts w:ascii="Book Antiqua" w:hAnsi="Book Antiqua"/>
        </w:rPr>
        <w:t xml:space="preserve">el </w:t>
      </w:r>
      <w:r w:rsidR="00BE56EC">
        <w:rPr>
          <w:rFonts w:ascii="Book Antiqua" w:hAnsi="Book Antiqua"/>
        </w:rPr>
        <w:t>D</w:t>
      </w:r>
      <w:r w:rsidR="005D5BFF">
        <w:rPr>
          <w:rFonts w:ascii="Book Antiqua" w:hAnsi="Book Antiqua"/>
        </w:rPr>
        <w:t>espacho que obtuvo la mayor cantidad de asuntos terminados corresponde al</w:t>
      </w:r>
      <w:r w:rsidR="003E49A2">
        <w:rPr>
          <w:rFonts w:ascii="Book Antiqua" w:hAnsi="Book Antiqua"/>
        </w:rPr>
        <w:t xml:space="preserve"> Tribunal de Alajuela con un </w:t>
      </w:r>
      <w:r w:rsidR="009444CC">
        <w:rPr>
          <w:rFonts w:ascii="Book Antiqua" w:hAnsi="Book Antiqua"/>
        </w:rPr>
        <w:t>62</w:t>
      </w:r>
      <w:r w:rsidR="003E49A2">
        <w:rPr>
          <w:rFonts w:ascii="Book Antiqua" w:hAnsi="Book Antiqua"/>
        </w:rPr>
        <w:t xml:space="preserve">% en materia </w:t>
      </w:r>
      <w:r w:rsidR="0015299A">
        <w:rPr>
          <w:rFonts w:ascii="Book Antiqua" w:hAnsi="Book Antiqua"/>
        </w:rPr>
        <w:t xml:space="preserve">Civil y un </w:t>
      </w:r>
      <w:r w:rsidR="009444CC">
        <w:rPr>
          <w:rFonts w:ascii="Book Antiqua" w:hAnsi="Book Antiqua"/>
        </w:rPr>
        <w:t>38</w:t>
      </w:r>
      <w:r w:rsidR="0015299A">
        <w:rPr>
          <w:rFonts w:ascii="Book Antiqua" w:hAnsi="Book Antiqua"/>
        </w:rPr>
        <w:t xml:space="preserve">% en laboral. </w:t>
      </w:r>
    </w:p>
    <w:p w14:paraId="423460E5" w14:textId="5386FE4C" w:rsidR="00AA330A" w:rsidRDefault="00DB7D93" w:rsidP="0029206D">
      <w:pPr>
        <w:jc w:val="both"/>
        <w:rPr>
          <w:rFonts w:ascii="Book Antiqua" w:hAnsi="Book Antiqua"/>
        </w:rPr>
      </w:pPr>
      <w:r w:rsidRPr="00410ED4">
        <w:rPr>
          <w:rFonts w:ascii="Book Antiqua" w:hAnsi="Book Antiqua"/>
        </w:rPr>
        <w:t xml:space="preserve">Los casos terminados por los Tribunales de Apelación Civil y </w:t>
      </w:r>
      <w:r w:rsidR="00354FD7" w:rsidRPr="00410ED4">
        <w:rPr>
          <w:rFonts w:ascii="Book Antiqua" w:hAnsi="Book Antiqua"/>
        </w:rPr>
        <w:t>Trabajo</w:t>
      </w:r>
      <w:r w:rsidR="00BD2212">
        <w:rPr>
          <w:rFonts w:ascii="Book Antiqua" w:hAnsi="Book Antiqua"/>
        </w:rPr>
        <w:t xml:space="preserve"> (Mixto)</w:t>
      </w:r>
      <w:r w:rsidRPr="00410ED4">
        <w:rPr>
          <w:rFonts w:ascii="Book Antiqua" w:hAnsi="Book Antiqua"/>
        </w:rPr>
        <w:t xml:space="preserve"> promedian </w:t>
      </w:r>
      <w:r w:rsidR="0094382B">
        <w:rPr>
          <w:rFonts w:ascii="Book Antiqua" w:hAnsi="Book Antiqua"/>
        </w:rPr>
        <w:t>2</w:t>
      </w:r>
      <w:r w:rsidR="00D60319">
        <w:rPr>
          <w:rFonts w:ascii="Book Antiqua" w:hAnsi="Book Antiqua"/>
        </w:rPr>
        <w:t>0</w:t>
      </w:r>
      <w:r w:rsidR="0094382B" w:rsidRPr="00410ED4">
        <w:rPr>
          <w:rFonts w:ascii="Book Antiqua" w:hAnsi="Book Antiqua"/>
        </w:rPr>
        <w:t xml:space="preserve"> </w:t>
      </w:r>
      <w:r w:rsidRPr="00410ED4">
        <w:rPr>
          <w:rFonts w:ascii="Book Antiqua" w:hAnsi="Book Antiqua"/>
        </w:rPr>
        <w:t xml:space="preserve">casos por persona juzgadora, donde se evidencia que el Tribunal de Apelación Civil y Trabajo de </w:t>
      </w:r>
      <w:r w:rsidR="00D60319">
        <w:rPr>
          <w:rFonts w:ascii="Book Antiqua" w:hAnsi="Book Antiqua"/>
        </w:rPr>
        <w:t>Heredia</w:t>
      </w:r>
      <w:r w:rsidR="00D60319" w:rsidRPr="00410ED4">
        <w:rPr>
          <w:rFonts w:ascii="Book Antiqua" w:hAnsi="Book Antiqua"/>
        </w:rPr>
        <w:t xml:space="preserve"> </w:t>
      </w:r>
      <w:r w:rsidRPr="00410ED4">
        <w:rPr>
          <w:rFonts w:ascii="Book Antiqua" w:hAnsi="Book Antiqua"/>
        </w:rPr>
        <w:t xml:space="preserve">es el Despacho que más casos terminados generó por plaza de Jueza y </w:t>
      </w:r>
      <w:r w:rsidRPr="00410ED4">
        <w:rPr>
          <w:rFonts w:ascii="Book Antiqua" w:hAnsi="Book Antiqua"/>
        </w:rPr>
        <w:lastRenderedPageBreak/>
        <w:t xml:space="preserve">Juez, con </w:t>
      </w:r>
      <w:r w:rsidR="00D60319">
        <w:rPr>
          <w:rFonts w:ascii="Book Antiqua" w:hAnsi="Book Antiqua"/>
        </w:rPr>
        <w:t>27</w:t>
      </w:r>
      <w:r w:rsidR="00D60319" w:rsidRPr="00410ED4">
        <w:rPr>
          <w:rFonts w:ascii="Book Antiqua" w:hAnsi="Book Antiqua"/>
        </w:rPr>
        <w:t xml:space="preserve"> </w:t>
      </w:r>
      <w:r w:rsidRPr="00410ED4">
        <w:rPr>
          <w:rFonts w:ascii="Book Antiqua" w:hAnsi="Book Antiqua"/>
        </w:rPr>
        <w:t xml:space="preserve">casos, seguido </w:t>
      </w:r>
      <w:r w:rsidR="002B0C53" w:rsidRPr="00410ED4">
        <w:rPr>
          <w:rFonts w:ascii="Book Antiqua" w:hAnsi="Book Antiqua"/>
        </w:rPr>
        <w:t xml:space="preserve">el </w:t>
      </w:r>
      <w:r w:rsidRPr="00410ED4">
        <w:rPr>
          <w:rFonts w:ascii="Book Antiqua" w:hAnsi="Book Antiqua"/>
        </w:rPr>
        <w:t>de</w:t>
      </w:r>
      <w:r w:rsidR="00093EBF">
        <w:rPr>
          <w:rFonts w:ascii="Book Antiqua" w:hAnsi="Book Antiqua"/>
        </w:rPr>
        <w:t xml:space="preserve"> </w:t>
      </w:r>
      <w:r w:rsidR="007B23ED">
        <w:rPr>
          <w:rFonts w:ascii="Book Antiqua" w:hAnsi="Book Antiqua"/>
        </w:rPr>
        <w:t>Alajuela</w:t>
      </w:r>
      <w:r w:rsidR="007B23ED" w:rsidRPr="00410ED4">
        <w:rPr>
          <w:rFonts w:ascii="Book Antiqua" w:hAnsi="Book Antiqua"/>
        </w:rPr>
        <w:t xml:space="preserve"> </w:t>
      </w:r>
      <w:r w:rsidR="007B23ED">
        <w:rPr>
          <w:rFonts w:ascii="Book Antiqua" w:hAnsi="Book Antiqua"/>
        </w:rPr>
        <w:t xml:space="preserve">y </w:t>
      </w:r>
      <w:r w:rsidR="007B23ED" w:rsidRPr="00410ED4">
        <w:rPr>
          <w:rFonts w:ascii="Book Antiqua" w:hAnsi="Book Antiqua"/>
        </w:rPr>
        <w:t>Cartago</w:t>
      </w:r>
      <w:r w:rsidR="007B23ED">
        <w:rPr>
          <w:rFonts w:ascii="Book Antiqua" w:hAnsi="Book Antiqua"/>
        </w:rPr>
        <w:t xml:space="preserve"> </w:t>
      </w:r>
      <w:r w:rsidRPr="00410ED4">
        <w:rPr>
          <w:rFonts w:ascii="Book Antiqua" w:hAnsi="Book Antiqua"/>
        </w:rPr>
        <w:t>con 2</w:t>
      </w:r>
      <w:r w:rsidR="007B23ED">
        <w:rPr>
          <w:rFonts w:ascii="Book Antiqua" w:hAnsi="Book Antiqua"/>
        </w:rPr>
        <w:t>5 y 23</w:t>
      </w:r>
      <w:r w:rsidRPr="00410ED4">
        <w:rPr>
          <w:rFonts w:ascii="Book Antiqua" w:hAnsi="Book Antiqua"/>
        </w:rPr>
        <w:t xml:space="preserve"> caso</w:t>
      </w:r>
      <w:r w:rsidR="00F56D1B">
        <w:rPr>
          <w:rFonts w:ascii="Book Antiqua" w:hAnsi="Book Antiqua"/>
        </w:rPr>
        <w:t>s</w:t>
      </w:r>
      <w:r w:rsidR="007B23ED">
        <w:rPr>
          <w:rFonts w:ascii="Book Antiqua" w:hAnsi="Book Antiqua"/>
        </w:rPr>
        <w:t xml:space="preserve"> respectivamente</w:t>
      </w:r>
      <w:r w:rsidR="00F56D1B">
        <w:rPr>
          <w:rFonts w:ascii="Book Antiqua" w:hAnsi="Book Antiqua"/>
        </w:rPr>
        <w:t xml:space="preserve">; caso contrario el </w:t>
      </w:r>
      <w:r w:rsidR="00BE56EC">
        <w:rPr>
          <w:rFonts w:ascii="Book Antiqua" w:hAnsi="Book Antiqua"/>
        </w:rPr>
        <w:t>D</w:t>
      </w:r>
      <w:r w:rsidR="00F56D1B">
        <w:rPr>
          <w:rFonts w:ascii="Book Antiqua" w:hAnsi="Book Antiqua"/>
        </w:rPr>
        <w:t xml:space="preserve">espacho que obtuvo la menor cantidad de asuntos terminados corresponde a </w:t>
      </w:r>
      <w:r w:rsidR="00101818" w:rsidRPr="00101818">
        <w:rPr>
          <w:rFonts w:ascii="Book Antiqua" w:hAnsi="Book Antiqua"/>
        </w:rPr>
        <w:t xml:space="preserve">Tribunal de Apelación Civil y Trabajo de Limón </w:t>
      </w:r>
      <w:r w:rsidR="00101818">
        <w:rPr>
          <w:rFonts w:ascii="Book Antiqua" w:hAnsi="Book Antiqua"/>
        </w:rPr>
        <w:t>con 1</w:t>
      </w:r>
      <w:r w:rsidR="007A67F5">
        <w:rPr>
          <w:rFonts w:ascii="Book Antiqua" w:hAnsi="Book Antiqua"/>
        </w:rPr>
        <w:t>5</w:t>
      </w:r>
      <w:r w:rsidR="00101818">
        <w:rPr>
          <w:rFonts w:ascii="Book Antiqua" w:hAnsi="Book Antiqua"/>
        </w:rPr>
        <w:t xml:space="preserve"> asuntos, </w:t>
      </w:r>
      <w:r w:rsidR="00B368FE">
        <w:rPr>
          <w:rFonts w:ascii="Book Antiqua" w:hAnsi="Book Antiqua"/>
        </w:rPr>
        <w:t xml:space="preserve">estando </w:t>
      </w:r>
      <w:r w:rsidR="00387071">
        <w:rPr>
          <w:rFonts w:ascii="Book Antiqua" w:hAnsi="Book Antiqua"/>
        </w:rPr>
        <w:t>cinco</w:t>
      </w:r>
      <w:r w:rsidR="00B368FE">
        <w:rPr>
          <w:rFonts w:ascii="Book Antiqua" w:hAnsi="Book Antiqua"/>
        </w:rPr>
        <w:t xml:space="preserve"> asuntos por debajo del promedio.</w:t>
      </w:r>
    </w:p>
    <w:p w14:paraId="36C70E77" w14:textId="2598848E" w:rsidR="0029206D" w:rsidRDefault="00B420E1" w:rsidP="0060505C">
      <w:pPr>
        <w:spacing w:line="276" w:lineRule="auto"/>
        <w:jc w:val="both"/>
        <w:rPr>
          <w:rFonts w:ascii="Book Antiqua" w:hAnsi="Book Antiqua"/>
        </w:rPr>
      </w:pPr>
      <w:r>
        <w:rPr>
          <w:rFonts w:ascii="Book Antiqua" w:hAnsi="Book Antiqua"/>
        </w:rPr>
        <w:t xml:space="preserve">Cabe mencionar que el Centro de Apoyo cuenta con dos secciones de </w:t>
      </w:r>
      <w:r w:rsidR="00E73C35">
        <w:rPr>
          <w:rFonts w:ascii="Book Antiqua" w:hAnsi="Book Antiqua"/>
        </w:rPr>
        <w:t>Juezas y Jueces</w:t>
      </w:r>
      <w:r>
        <w:rPr>
          <w:rFonts w:ascii="Book Antiqua" w:hAnsi="Book Antiqua"/>
        </w:rPr>
        <w:t xml:space="preserve"> 5 de apoyo a los Tribunales de Apelación (1 de las secciones por plan de trabajo desde el setiembre 2020 se avoca a colaborar con las Salas Primera y Segunda</w:t>
      </w:r>
      <w:r>
        <w:rPr>
          <w:rStyle w:val="Refdenotaalpie"/>
          <w:rFonts w:ascii="Book Antiqua" w:hAnsi="Book Antiqua"/>
        </w:rPr>
        <w:footnoteReference w:id="2"/>
      </w:r>
      <w:r>
        <w:rPr>
          <w:rFonts w:ascii="Book Antiqua" w:hAnsi="Book Antiqua"/>
        </w:rPr>
        <w:t>), por tanto</w:t>
      </w:r>
      <w:r w:rsidR="00674BB8">
        <w:rPr>
          <w:rFonts w:ascii="Book Antiqua" w:hAnsi="Book Antiqua"/>
        </w:rPr>
        <w:t>,</w:t>
      </w:r>
      <w:r>
        <w:rPr>
          <w:rFonts w:ascii="Book Antiqua" w:hAnsi="Book Antiqua"/>
        </w:rPr>
        <w:t xml:space="preserve"> entre los asuntos terminados se contabilizan también asuntos fenecidos por plazas de descongestionamiento. </w:t>
      </w:r>
      <w:r w:rsidR="007F79DA">
        <w:rPr>
          <w:rFonts w:ascii="Book Antiqua" w:hAnsi="Book Antiqua"/>
        </w:rPr>
        <w:t xml:space="preserve"> El detalle de la cantidad de terminados totales por las plazas titulares de los tribunales se detalla en el cuadro 8. </w:t>
      </w:r>
    </w:p>
    <w:p w14:paraId="7BFAA85D" w14:textId="77777777" w:rsidR="00B420E1" w:rsidRPr="00410ED4" w:rsidRDefault="00B420E1" w:rsidP="0060505C">
      <w:pPr>
        <w:spacing w:line="276" w:lineRule="auto"/>
        <w:jc w:val="both"/>
        <w:rPr>
          <w:rFonts w:ascii="Book Antiqua" w:hAnsi="Book Antiqua"/>
        </w:rPr>
      </w:pPr>
    </w:p>
    <w:p w14:paraId="6241C634" w14:textId="14633898" w:rsidR="009D55A0" w:rsidRPr="00AC284F" w:rsidRDefault="009D55A0" w:rsidP="009C259C">
      <w:pPr>
        <w:pStyle w:val="Ttulo3"/>
        <w:numPr>
          <w:ilvl w:val="3"/>
          <w:numId w:val="1"/>
        </w:numPr>
        <w:rPr>
          <w:rFonts w:ascii="Book Antiqua" w:hAnsi="Book Antiqua"/>
          <w:b/>
          <w:color w:val="000000" w:themeColor="text1"/>
          <w:szCs w:val="22"/>
          <w:u w:val="single"/>
        </w:rPr>
      </w:pPr>
      <w:r w:rsidRPr="00AC284F">
        <w:rPr>
          <w:rFonts w:ascii="Book Antiqua" w:hAnsi="Book Antiqua"/>
          <w:b/>
          <w:color w:val="000000" w:themeColor="text1"/>
          <w:szCs w:val="22"/>
          <w:u w:val="single"/>
        </w:rPr>
        <w:t xml:space="preserve">Asuntos terminados materia Civil </w:t>
      </w:r>
    </w:p>
    <w:p w14:paraId="71AA835E" w14:textId="77777777" w:rsidR="009D55A0" w:rsidRPr="0029206D" w:rsidRDefault="009D55A0" w:rsidP="0060505C">
      <w:pPr>
        <w:spacing w:line="276" w:lineRule="auto"/>
        <w:jc w:val="both"/>
        <w:rPr>
          <w:rFonts w:ascii="Book Antiqua" w:hAnsi="Book Antiqua"/>
        </w:rPr>
      </w:pPr>
    </w:p>
    <w:p w14:paraId="521AFFC1" w14:textId="51C9B334" w:rsidR="00986796" w:rsidRPr="00410ED4" w:rsidRDefault="00986796" w:rsidP="0060505C">
      <w:pPr>
        <w:spacing w:line="276" w:lineRule="auto"/>
        <w:jc w:val="both"/>
        <w:rPr>
          <w:rFonts w:ascii="Book Antiqua" w:hAnsi="Book Antiqua"/>
        </w:rPr>
      </w:pPr>
      <w:r w:rsidRPr="00807FB9">
        <w:rPr>
          <w:rFonts w:ascii="Book Antiqua" w:hAnsi="Book Antiqua"/>
        </w:rPr>
        <w:t xml:space="preserve">Los </w:t>
      </w:r>
      <w:r w:rsidR="00260C19" w:rsidRPr="00807FB9">
        <w:rPr>
          <w:rFonts w:ascii="Book Antiqua" w:hAnsi="Book Antiqua"/>
        </w:rPr>
        <w:t>asuntos</w:t>
      </w:r>
      <w:r w:rsidRPr="00807FB9">
        <w:rPr>
          <w:rFonts w:ascii="Book Antiqua" w:hAnsi="Book Antiqua"/>
        </w:rPr>
        <w:t xml:space="preserve"> terminados</w:t>
      </w:r>
      <w:r w:rsidR="00A251A3" w:rsidRPr="00807FB9">
        <w:rPr>
          <w:rFonts w:ascii="Book Antiqua" w:hAnsi="Book Antiqua"/>
        </w:rPr>
        <w:t xml:space="preserve"> en materia Civil</w:t>
      </w:r>
      <w:r w:rsidRPr="00807FB9">
        <w:rPr>
          <w:rFonts w:ascii="Book Antiqua" w:hAnsi="Book Antiqua"/>
        </w:rPr>
        <w:t xml:space="preserve"> por tipo de </w:t>
      </w:r>
      <w:r w:rsidR="00446011" w:rsidRPr="00807FB9">
        <w:rPr>
          <w:rFonts w:ascii="Book Antiqua" w:hAnsi="Book Antiqua"/>
        </w:rPr>
        <w:t>resolución</w:t>
      </w:r>
      <w:r w:rsidR="00A251A3" w:rsidRPr="00807FB9">
        <w:rPr>
          <w:rFonts w:ascii="Book Antiqua" w:hAnsi="Book Antiqua"/>
        </w:rPr>
        <w:t xml:space="preserve"> durante el 2018</w:t>
      </w:r>
      <w:r w:rsidR="007D0663">
        <w:rPr>
          <w:rFonts w:ascii="Book Antiqua" w:hAnsi="Book Antiqua"/>
        </w:rPr>
        <w:t xml:space="preserve">, </w:t>
      </w:r>
      <w:r w:rsidR="00807FB9">
        <w:rPr>
          <w:rFonts w:ascii="Book Antiqua" w:hAnsi="Book Antiqua"/>
        </w:rPr>
        <w:t>2019</w:t>
      </w:r>
      <w:r w:rsidR="007D0663">
        <w:rPr>
          <w:rFonts w:ascii="Book Antiqua" w:hAnsi="Book Antiqua"/>
        </w:rPr>
        <w:t>, 2020 y primer semestre 2021</w:t>
      </w:r>
      <w:r w:rsidRPr="00807FB9">
        <w:rPr>
          <w:rFonts w:ascii="Book Antiqua" w:hAnsi="Book Antiqua"/>
        </w:rPr>
        <w:t xml:space="preserve"> se muestran a continuación:</w:t>
      </w:r>
    </w:p>
    <w:p w14:paraId="223B6BF1" w14:textId="730AFB5F" w:rsidR="00DB3347" w:rsidRPr="00410ED4" w:rsidRDefault="00DB3347" w:rsidP="00DB3347">
      <w:pPr>
        <w:keepNext/>
        <w:widowControl w:val="0"/>
        <w:autoSpaceDE w:val="0"/>
        <w:autoSpaceDN w:val="0"/>
        <w:adjustRightInd w:val="0"/>
        <w:spacing w:after="0" w:line="240" w:lineRule="auto"/>
        <w:jc w:val="center"/>
        <w:rPr>
          <w:rFonts w:ascii="Book Antiqua" w:eastAsia="Times New Roman" w:hAnsi="Book Antiqua" w:cs="Arial"/>
          <w:b/>
          <w:bCs/>
          <w:color w:val="1F497D" w:themeColor="text2"/>
          <w:lang w:eastAsia="es-ES"/>
        </w:rPr>
      </w:pPr>
      <w:r w:rsidRPr="00410ED4">
        <w:rPr>
          <w:rFonts w:ascii="Book Antiqua" w:eastAsia="Times New Roman" w:hAnsi="Book Antiqua" w:cs="Arial"/>
          <w:b/>
          <w:bCs/>
          <w:color w:val="1F497D" w:themeColor="text2"/>
          <w:lang w:eastAsia="es-ES"/>
        </w:rPr>
        <w:t xml:space="preserve">Cuadro </w:t>
      </w:r>
      <w:r w:rsidRPr="00410ED4">
        <w:rPr>
          <w:rFonts w:ascii="Book Antiqua" w:eastAsia="Times New Roman" w:hAnsi="Book Antiqua" w:cs="Arial"/>
          <w:b/>
          <w:bCs/>
          <w:color w:val="1F497D" w:themeColor="text2"/>
          <w:lang w:eastAsia="es-ES"/>
        </w:rPr>
        <w:fldChar w:fldCharType="begin"/>
      </w:r>
      <w:r w:rsidRPr="00410ED4">
        <w:rPr>
          <w:rFonts w:ascii="Book Antiqua" w:eastAsia="Times New Roman" w:hAnsi="Book Antiqua" w:cs="Arial"/>
          <w:b/>
          <w:bCs/>
          <w:color w:val="1F497D" w:themeColor="text2"/>
          <w:lang w:eastAsia="es-ES"/>
        </w:rPr>
        <w:instrText xml:space="preserve"> SEQ Cuadro \* ARABIC </w:instrText>
      </w:r>
      <w:r w:rsidRPr="00410ED4">
        <w:rPr>
          <w:rFonts w:ascii="Book Antiqua" w:eastAsia="Times New Roman" w:hAnsi="Book Antiqua" w:cs="Arial"/>
          <w:b/>
          <w:bCs/>
          <w:color w:val="1F497D" w:themeColor="text2"/>
          <w:lang w:eastAsia="es-ES"/>
        </w:rPr>
        <w:fldChar w:fldCharType="separate"/>
      </w:r>
      <w:r>
        <w:rPr>
          <w:rFonts w:ascii="Book Antiqua" w:eastAsia="Times New Roman" w:hAnsi="Book Antiqua" w:cs="Arial"/>
          <w:b/>
          <w:bCs/>
          <w:noProof/>
          <w:color w:val="1F497D" w:themeColor="text2"/>
          <w:lang w:eastAsia="es-ES"/>
        </w:rPr>
        <w:t>6</w:t>
      </w:r>
      <w:r w:rsidRPr="00410ED4">
        <w:rPr>
          <w:rFonts w:ascii="Book Antiqua" w:eastAsia="Times New Roman" w:hAnsi="Book Antiqua" w:cs="Arial"/>
          <w:b/>
          <w:bCs/>
          <w:color w:val="1F497D" w:themeColor="text2"/>
          <w:lang w:eastAsia="es-ES"/>
        </w:rPr>
        <w:fldChar w:fldCharType="end"/>
      </w:r>
    </w:p>
    <w:p w14:paraId="61E0D8F4" w14:textId="41ECB88B" w:rsidR="00A251A3" w:rsidRPr="00410ED4" w:rsidRDefault="00A251A3">
      <w:pPr>
        <w:keepNext/>
        <w:widowControl w:val="0"/>
        <w:autoSpaceDE w:val="0"/>
        <w:autoSpaceDN w:val="0"/>
        <w:adjustRightInd w:val="0"/>
        <w:spacing w:after="0" w:line="240" w:lineRule="auto"/>
        <w:jc w:val="center"/>
        <w:rPr>
          <w:rFonts w:ascii="Book Antiqua" w:eastAsia="Times New Roman" w:hAnsi="Book Antiqua" w:cs="Arial"/>
          <w:b/>
          <w:bCs/>
          <w:color w:val="1F497D" w:themeColor="text2"/>
          <w:lang w:eastAsia="es-ES"/>
        </w:rPr>
      </w:pPr>
      <w:r w:rsidRPr="00807FB9">
        <w:rPr>
          <w:rFonts w:ascii="Book Antiqua" w:eastAsia="Times New Roman" w:hAnsi="Book Antiqua" w:cs="Arial"/>
          <w:b/>
          <w:bCs/>
          <w:color w:val="1F497D" w:themeColor="text2"/>
          <w:lang w:eastAsia="es-ES"/>
        </w:rPr>
        <w:t>Casos terminados por</w:t>
      </w:r>
      <w:r w:rsidR="00446011" w:rsidRPr="00807FB9">
        <w:rPr>
          <w:rFonts w:ascii="Book Antiqua" w:eastAsia="Times New Roman" w:hAnsi="Book Antiqua" w:cs="Arial"/>
          <w:b/>
          <w:bCs/>
          <w:color w:val="1F497D" w:themeColor="text2"/>
          <w:lang w:eastAsia="es-ES"/>
        </w:rPr>
        <w:t xml:space="preserve"> Tipo de Resolución </w:t>
      </w:r>
      <w:r w:rsidRPr="00807FB9">
        <w:rPr>
          <w:rFonts w:ascii="Book Antiqua" w:eastAsia="Times New Roman" w:hAnsi="Book Antiqua" w:cs="Arial"/>
          <w:b/>
          <w:bCs/>
          <w:color w:val="1F497D" w:themeColor="text2"/>
          <w:lang w:eastAsia="es-ES"/>
        </w:rPr>
        <w:t>los Tribunales de Apelación Civil y Trabajo</w:t>
      </w:r>
      <w:r w:rsidR="00BD2212">
        <w:rPr>
          <w:rFonts w:ascii="Book Antiqua" w:eastAsia="Times New Roman" w:hAnsi="Book Antiqua" w:cs="Arial"/>
          <w:b/>
          <w:bCs/>
          <w:color w:val="1F497D" w:themeColor="text2"/>
          <w:lang w:eastAsia="es-ES"/>
        </w:rPr>
        <w:t xml:space="preserve"> (Mixto)-</w:t>
      </w:r>
      <w:r w:rsidRPr="00807FB9">
        <w:rPr>
          <w:rFonts w:ascii="Book Antiqua" w:eastAsia="Times New Roman" w:hAnsi="Book Antiqua" w:cs="Arial"/>
          <w:b/>
          <w:bCs/>
          <w:color w:val="1F497D" w:themeColor="text2"/>
          <w:lang w:eastAsia="es-ES"/>
        </w:rPr>
        <w:t>Periodo 2018</w:t>
      </w:r>
      <w:r w:rsidR="000A54B4">
        <w:rPr>
          <w:rFonts w:ascii="Book Antiqua" w:eastAsia="Times New Roman" w:hAnsi="Book Antiqua" w:cs="Arial"/>
          <w:b/>
          <w:bCs/>
          <w:color w:val="1F497D" w:themeColor="text2"/>
          <w:lang w:eastAsia="es-ES"/>
        </w:rPr>
        <w:t>,</w:t>
      </w:r>
      <w:r w:rsidR="00807FB9">
        <w:rPr>
          <w:rFonts w:ascii="Book Antiqua" w:eastAsia="Times New Roman" w:hAnsi="Book Antiqua" w:cs="Arial"/>
          <w:b/>
          <w:bCs/>
          <w:color w:val="1F497D" w:themeColor="text2"/>
          <w:lang w:eastAsia="es-ES"/>
        </w:rPr>
        <w:t>2019</w:t>
      </w:r>
      <w:r w:rsidR="000A54B4">
        <w:rPr>
          <w:rFonts w:ascii="Book Antiqua" w:eastAsia="Times New Roman" w:hAnsi="Book Antiqua" w:cs="Arial"/>
          <w:b/>
          <w:bCs/>
          <w:color w:val="1F497D" w:themeColor="text2"/>
          <w:lang w:eastAsia="es-ES"/>
        </w:rPr>
        <w:t>, 2020 y I Semestre 2021</w:t>
      </w:r>
    </w:p>
    <w:tbl>
      <w:tblPr>
        <w:tblW w:w="5000" w:type="pct"/>
        <w:tblCellMar>
          <w:left w:w="70" w:type="dxa"/>
          <w:right w:w="70" w:type="dxa"/>
        </w:tblCellMar>
        <w:tblLook w:val="04A0" w:firstRow="1" w:lastRow="0" w:firstColumn="1" w:lastColumn="0" w:noHBand="0" w:noVBand="1"/>
      </w:tblPr>
      <w:tblGrid>
        <w:gridCol w:w="1939"/>
        <w:gridCol w:w="821"/>
        <w:gridCol w:w="840"/>
        <w:gridCol w:w="781"/>
        <w:gridCol w:w="800"/>
        <w:gridCol w:w="1090"/>
        <w:gridCol w:w="1060"/>
        <w:gridCol w:w="680"/>
        <w:gridCol w:w="781"/>
      </w:tblGrid>
      <w:tr w:rsidR="007D0663" w:rsidRPr="007D0663" w14:paraId="04667991" w14:textId="77777777" w:rsidTr="00674BB8">
        <w:trPr>
          <w:trHeight w:val="310"/>
        </w:trPr>
        <w:tc>
          <w:tcPr>
            <w:tcW w:w="1757" w:type="pct"/>
            <w:vMerge w:val="restart"/>
            <w:tcBorders>
              <w:top w:val="double" w:sz="6" w:space="0" w:color="1F497D"/>
              <w:left w:val="double" w:sz="6" w:space="0" w:color="1F497D"/>
              <w:bottom w:val="double" w:sz="6" w:space="0" w:color="1F497D"/>
              <w:right w:val="double" w:sz="6" w:space="0" w:color="1F497D"/>
            </w:tcBorders>
            <w:shd w:val="clear" w:color="000000" w:fill="1F497D"/>
            <w:vAlign w:val="center"/>
            <w:hideMark/>
          </w:tcPr>
          <w:p w14:paraId="4FE0C8EB" w14:textId="77777777" w:rsidR="007D0663" w:rsidRPr="00EB031E" w:rsidRDefault="007D0663" w:rsidP="007D0663">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Tipo de resolución dictada</w:t>
            </w:r>
          </w:p>
        </w:tc>
        <w:tc>
          <w:tcPr>
            <w:tcW w:w="3243" w:type="pct"/>
            <w:gridSpan w:val="8"/>
            <w:tcBorders>
              <w:top w:val="double" w:sz="6" w:space="0" w:color="1F497D"/>
              <w:left w:val="nil"/>
              <w:bottom w:val="nil"/>
              <w:right w:val="double" w:sz="6" w:space="0" w:color="1F497D"/>
            </w:tcBorders>
            <w:shd w:val="clear" w:color="000000" w:fill="D9D9D9"/>
            <w:vAlign w:val="center"/>
            <w:hideMark/>
          </w:tcPr>
          <w:p w14:paraId="7D88CE7C" w14:textId="77777777" w:rsidR="007D0663" w:rsidRPr="00EB031E" w:rsidRDefault="007D0663" w:rsidP="007D066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 xml:space="preserve">Tribunal de Apelación Civil, periodo 2018,2019, 2020 y I Semestre 2021 </w:t>
            </w:r>
          </w:p>
        </w:tc>
      </w:tr>
      <w:tr w:rsidR="007D0663" w:rsidRPr="007D0663" w14:paraId="528EC95D" w14:textId="77777777" w:rsidTr="007D0663">
        <w:trPr>
          <w:trHeight w:val="490"/>
        </w:trPr>
        <w:tc>
          <w:tcPr>
            <w:tcW w:w="1757" w:type="pct"/>
            <w:vMerge/>
            <w:tcBorders>
              <w:top w:val="double" w:sz="6" w:space="0" w:color="1F497D"/>
              <w:left w:val="double" w:sz="6" w:space="0" w:color="1F497D"/>
              <w:bottom w:val="double" w:sz="6" w:space="0" w:color="1F497D"/>
              <w:right w:val="double" w:sz="6" w:space="0" w:color="1F497D"/>
            </w:tcBorders>
            <w:vAlign w:val="center"/>
            <w:hideMark/>
          </w:tcPr>
          <w:p w14:paraId="6A524F5E" w14:textId="77777777" w:rsidR="007D0663" w:rsidRPr="00EB031E" w:rsidRDefault="007D0663" w:rsidP="007D0663">
            <w:pPr>
              <w:spacing w:after="0" w:line="240" w:lineRule="auto"/>
              <w:rPr>
                <w:rFonts w:ascii="Book Antiqua" w:eastAsia="Times New Roman" w:hAnsi="Book Antiqua" w:cs="Calibri"/>
                <w:b/>
                <w:bCs/>
                <w:color w:val="FFFFFF"/>
                <w:sz w:val="18"/>
                <w:szCs w:val="18"/>
                <w:lang w:eastAsia="es-CR"/>
              </w:rPr>
            </w:pPr>
          </w:p>
        </w:tc>
        <w:tc>
          <w:tcPr>
            <w:tcW w:w="405" w:type="pct"/>
            <w:tcBorders>
              <w:top w:val="single" w:sz="8" w:space="0" w:color="auto"/>
              <w:left w:val="nil"/>
              <w:bottom w:val="single" w:sz="8" w:space="0" w:color="auto"/>
              <w:right w:val="single" w:sz="8" w:space="0" w:color="auto"/>
            </w:tcBorders>
            <w:shd w:val="clear" w:color="000000" w:fill="1F497D"/>
            <w:vAlign w:val="center"/>
            <w:hideMark/>
          </w:tcPr>
          <w:p w14:paraId="72BBC2FB" w14:textId="77777777" w:rsidR="007D0663" w:rsidRPr="007D0663" w:rsidRDefault="007D0663" w:rsidP="007D0663">
            <w:pPr>
              <w:spacing w:after="0" w:line="240" w:lineRule="auto"/>
              <w:jc w:val="center"/>
              <w:rPr>
                <w:rFonts w:ascii="Book Antiqua" w:eastAsia="Times New Roman" w:hAnsi="Book Antiqua" w:cs="Calibri"/>
                <w:b/>
                <w:bCs/>
                <w:color w:val="FFFFFF"/>
                <w:sz w:val="18"/>
                <w:szCs w:val="18"/>
                <w:lang w:eastAsia="es-CR"/>
              </w:rPr>
            </w:pPr>
            <w:r w:rsidRPr="007D0663">
              <w:rPr>
                <w:rFonts w:ascii="Book Antiqua" w:eastAsia="Times New Roman" w:hAnsi="Book Antiqua" w:cs="Calibri"/>
                <w:b/>
                <w:bCs/>
                <w:color w:val="FFFFFF"/>
                <w:sz w:val="18"/>
                <w:szCs w:val="18"/>
                <w:lang w:eastAsia="es-CR"/>
              </w:rPr>
              <w:t xml:space="preserve">Pérez Zeledón </w:t>
            </w:r>
          </w:p>
        </w:tc>
        <w:tc>
          <w:tcPr>
            <w:tcW w:w="405" w:type="pct"/>
            <w:tcBorders>
              <w:top w:val="nil"/>
              <w:left w:val="nil"/>
              <w:bottom w:val="single" w:sz="8" w:space="0" w:color="auto"/>
              <w:right w:val="single" w:sz="8" w:space="0" w:color="auto"/>
            </w:tcBorders>
            <w:shd w:val="clear" w:color="000000" w:fill="1F497D"/>
            <w:vAlign w:val="center"/>
            <w:hideMark/>
          </w:tcPr>
          <w:p w14:paraId="2833FE5D" w14:textId="77777777" w:rsidR="007D0663" w:rsidRPr="007D0663" w:rsidRDefault="007D0663" w:rsidP="007D0663">
            <w:pPr>
              <w:spacing w:after="0" w:line="240" w:lineRule="auto"/>
              <w:jc w:val="center"/>
              <w:rPr>
                <w:rFonts w:ascii="Book Antiqua" w:eastAsia="Times New Roman" w:hAnsi="Book Antiqua" w:cs="Calibri"/>
                <w:b/>
                <w:bCs/>
                <w:color w:val="FFFFFF"/>
                <w:sz w:val="18"/>
                <w:szCs w:val="18"/>
                <w:lang w:eastAsia="es-CR"/>
              </w:rPr>
            </w:pPr>
            <w:r w:rsidRPr="007D0663">
              <w:rPr>
                <w:rFonts w:ascii="Book Antiqua" w:eastAsia="Times New Roman" w:hAnsi="Book Antiqua" w:cs="Calibri"/>
                <w:b/>
                <w:bCs/>
                <w:color w:val="FFFFFF"/>
                <w:sz w:val="18"/>
                <w:szCs w:val="18"/>
                <w:lang w:eastAsia="es-CR"/>
              </w:rPr>
              <w:t>Alajuela</w:t>
            </w:r>
          </w:p>
        </w:tc>
        <w:tc>
          <w:tcPr>
            <w:tcW w:w="405" w:type="pct"/>
            <w:tcBorders>
              <w:top w:val="nil"/>
              <w:left w:val="nil"/>
              <w:bottom w:val="single" w:sz="8" w:space="0" w:color="auto"/>
              <w:right w:val="nil"/>
            </w:tcBorders>
            <w:shd w:val="clear" w:color="000000" w:fill="1F497D"/>
            <w:vAlign w:val="center"/>
            <w:hideMark/>
          </w:tcPr>
          <w:p w14:paraId="6DB1EDE7" w14:textId="77777777" w:rsidR="007D0663" w:rsidRPr="007D0663" w:rsidRDefault="007D0663" w:rsidP="007D0663">
            <w:pPr>
              <w:spacing w:after="0" w:line="240" w:lineRule="auto"/>
              <w:jc w:val="center"/>
              <w:rPr>
                <w:rFonts w:ascii="Book Antiqua" w:eastAsia="Times New Roman" w:hAnsi="Book Antiqua" w:cs="Calibri"/>
                <w:b/>
                <w:bCs/>
                <w:color w:val="FFFFFF"/>
                <w:sz w:val="18"/>
                <w:szCs w:val="18"/>
                <w:lang w:eastAsia="es-CR"/>
              </w:rPr>
            </w:pPr>
            <w:r w:rsidRPr="007D0663">
              <w:rPr>
                <w:rFonts w:ascii="Book Antiqua" w:eastAsia="Times New Roman" w:hAnsi="Book Antiqua" w:cs="Calibri"/>
                <w:b/>
                <w:bCs/>
                <w:color w:val="FFFFFF"/>
                <w:sz w:val="18"/>
                <w:szCs w:val="18"/>
                <w:lang w:eastAsia="es-CR"/>
              </w:rPr>
              <w:t>Cartago</w:t>
            </w:r>
          </w:p>
        </w:tc>
        <w:tc>
          <w:tcPr>
            <w:tcW w:w="405" w:type="pct"/>
            <w:tcBorders>
              <w:top w:val="nil"/>
              <w:left w:val="single" w:sz="8" w:space="0" w:color="auto"/>
              <w:bottom w:val="single" w:sz="8" w:space="0" w:color="auto"/>
              <w:right w:val="single" w:sz="8" w:space="0" w:color="auto"/>
            </w:tcBorders>
            <w:shd w:val="clear" w:color="000000" w:fill="1F497D"/>
            <w:vAlign w:val="center"/>
            <w:hideMark/>
          </w:tcPr>
          <w:p w14:paraId="5E00B8FE" w14:textId="77777777" w:rsidR="007D0663" w:rsidRPr="007D0663" w:rsidRDefault="007D0663" w:rsidP="007D0663">
            <w:pPr>
              <w:spacing w:after="0" w:line="240" w:lineRule="auto"/>
              <w:jc w:val="center"/>
              <w:rPr>
                <w:rFonts w:ascii="Book Antiqua" w:eastAsia="Times New Roman" w:hAnsi="Book Antiqua" w:cs="Calibri"/>
                <w:b/>
                <w:bCs/>
                <w:color w:val="FFFFFF"/>
                <w:sz w:val="18"/>
                <w:szCs w:val="18"/>
                <w:lang w:eastAsia="es-CR"/>
              </w:rPr>
            </w:pPr>
            <w:r w:rsidRPr="007D0663">
              <w:rPr>
                <w:rFonts w:ascii="Book Antiqua" w:eastAsia="Times New Roman" w:hAnsi="Book Antiqua" w:cs="Calibri"/>
                <w:b/>
                <w:bCs/>
                <w:color w:val="FFFFFF"/>
                <w:sz w:val="18"/>
                <w:szCs w:val="18"/>
                <w:lang w:eastAsia="es-CR"/>
              </w:rPr>
              <w:t>Heredia</w:t>
            </w:r>
          </w:p>
        </w:tc>
        <w:tc>
          <w:tcPr>
            <w:tcW w:w="405" w:type="pct"/>
            <w:tcBorders>
              <w:top w:val="nil"/>
              <w:left w:val="nil"/>
              <w:bottom w:val="single" w:sz="8" w:space="0" w:color="auto"/>
              <w:right w:val="single" w:sz="8" w:space="0" w:color="auto"/>
            </w:tcBorders>
            <w:shd w:val="clear" w:color="000000" w:fill="1F497D"/>
            <w:vAlign w:val="center"/>
            <w:hideMark/>
          </w:tcPr>
          <w:p w14:paraId="5CC5CEB3" w14:textId="77777777" w:rsidR="007D0663" w:rsidRPr="007D0663" w:rsidRDefault="007D0663" w:rsidP="007D0663">
            <w:pPr>
              <w:spacing w:after="0" w:line="240" w:lineRule="auto"/>
              <w:jc w:val="center"/>
              <w:rPr>
                <w:rFonts w:ascii="Book Antiqua" w:eastAsia="Times New Roman" w:hAnsi="Book Antiqua" w:cs="Calibri"/>
                <w:b/>
                <w:bCs/>
                <w:color w:val="FFFFFF"/>
                <w:sz w:val="18"/>
                <w:szCs w:val="18"/>
                <w:lang w:eastAsia="es-CR"/>
              </w:rPr>
            </w:pPr>
            <w:r w:rsidRPr="007D0663">
              <w:rPr>
                <w:rFonts w:ascii="Book Antiqua" w:eastAsia="Times New Roman" w:hAnsi="Book Antiqua" w:cs="Calibri"/>
                <w:b/>
                <w:bCs/>
                <w:color w:val="FFFFFF"/>
                <w:sz w:val="18"/>
                <w:szCs w:val="18"/>
                <w:lang w:eastAsia="es-CR"/>
              </w:rPr>
              <w:t>Guanacaste</w:t>
            </w:r>
          </w:p>
        </w:tc>
        <w:tc>
          <w:tcPr>
            <w:tcW w:w="405" w:type="pct"/>
            <w:tcBorders>
              <w:top w:val="nil"/>
              <w:left w:val="nil"/>
              <w:bottom w:val="single" w:sz="8" w:space="0" w:color="auto"/>
              <w:right w:val="single" w:sz="8" w:space="0" w:color="auto"/>
            </w:tcBorders>
            <w:shd w:val="clear" w:color="000000" w:fill="1F497D"/>
            <w:vAlign w:val="center"/>
            <w:hideMark/>
          </w:tcPr>
          <w:p w14:paraId="2B978E7B" w14:textId="77777777" w:rsidR="007D0663" w:rsidRPr="007D0663" w:rsidRDefault="007D0663" w:rsidP="007D0663">
            <w:pPr>
              <w:spacing w:after="0" w:line="240" w:lineRule="auto"/>
              <w:jc w:val="center"/>
              <w:rPr>
                <w:rFonts w:ascii="Book Antiqua" w:eastAsia="Times New Roman" w:hAnsi="Book Antiqua" w:cs="Calibri"/>
                <w:b/>
                <w:bCs/>
                <w:color w:val="FFFFFF"/>
                <w:sz w:val="18"/>
                <w:szCs w:val="18"/>
                <w:lang w:eastAsia="es-CR"/>
              </w:rPr>
            </w:pPr>
            <w:r w:rsidRPr="007D0663">
              <w:rPr>
                <w:rFonts w:ascii="Book Antiqua" w:eastAsia="Times New Roman" w:hAnsi="Book Antiqua" w:cs="Calibri"/>
                <w:b/>
                <w:bCs/>
                <w:color w:val="FFFFFF"/>
                <w:sz w:val="18"/>
                <w:szCs w:val="18"/>
                <w:lang w:eastAsia="es-CR"/>
              </w:rPr>
              <w:t>Puntarenas</w:t>
            </w:r>
          </w:p>
        </w:tc>
        <w:tc>
          <w:tcPr>
            <w:tcW w:w="405" w:type="pct"/>
            <w:tcBorders>
              <w:top w:val="nil"/>
              <w:left w:val="nil"/>
              <w:bottom w:val="single" w:sz="8" w:space="0" w:color="auto"/>
              <w:right w:val="single" w:sz="8" w:space="0" w:color="auto"/>
            </w:tcBorders>
            <w:shd w:val="clear" w:color="000000" w:fill="1F497D"/>
            <w:vAlign w:val="center"/>
            <w:hideMark/>
          </w:tcPr>
          <w:p w14:paraId="7041DC46" w14:textId="77777777" w:rsidR="007D0663" w:rsidRPr="007D0663" w:rsidRDefault="007D0663" w:rsidP="007D0663">
            <w:pPr>
              <w:spacing w:after="0" w:line="240" w:lineRule="auto"/>
              <w:jc w:val="center"/>
              <w:rPr>
                <w:rFonts w:ascii="Book Antiqua" w:eastAsia="Times New Roman" w:hAnsi="Book Antiqua" w:cs="Calibri"/>
                <w:b/>
                <w:bCs/>
                <w:color w:val="FFFFFF"/>
                <w:sz w:val="18"/>
                <w:szCs w:val="18"/>
                <w:lang w:eastAsia="es-CR"/>
              </w:rPr>
            </w:pPr>
            <w:r w:rsidRPr="007D0663">
              <w:rPr>
                <w:rFonts w:ascii="Book Antiqua" w:eastAsia="Times New Roman" w:hAnsi="Book Antiqua" w:cs="Calibri"/>
                <w:b/>
                <w:bCs/>
                <w:color w:val="FFFFFF"/>
                <w:sz w:val="18"/>
                <w:szCs w:val="18"/>
                <w:lang w:eastAsia="es-CR"/>
              </w:rPr>
              <w:t>Limón</w:t>
            </w:r>
          </w:p>
        </w:tc>
        <w:tc>
          <w:tcPr>
            <w:tcW w:w="405" w:type="pct"/>
            <w:tcBorders>
              <w:top w:val="nil"/>
              <w:left w:val="nil"/>
              <w:bottom w:val="single" w:sz="8" w:space="0" w:color="auto"/>
              <w:right w:val="single" w:sz="8" w:space="0" w:color="auto"/>
            </w:tcBorders>
            <w:shd w:val="clear" w:color="000000" w:fill="1F497D"/>
            <w:vAlign w:val="center"/>
            <w:hideMark/>
          </w:tcPr>
          <w:p w14:paraId="29AC503C" w14:textId="77777777" w:rsidR="007D0663" w:rsidRPr="007D0663" w:rsidRDefault="007D0663" w:rsidP="007D0663">
            <w:pPr>
              <w:spacing w:after="0" w:line="240" w:lineRule="auto"/>
              <w:jc w:val="center"/>
              <w:rPr>
                <w:rFonts w:ascii="Book Antiqua" w:eastAsia="Times New Roman" w:hAnsi="Book Antiqua" w:cs="Calibri"/>
                <w:b/>
                <w:bCs/>
                <w:color w:val="FFFFFF"/>
                <w:sz w:val="18"/>
                <w:szCs w:val="18"/>
                <w:lang w:eastAsia="es-CR"/>
              </w:rPr>
            </w:pPr>
            <w:r w:rsidRPr="007D0663">
              <w:rPr>
                <w:rFonts w:ascii="Book Antiqua" w:eastAsia="Times New Roman" w:hAnsi="Book Antiqua" w:cs="Calibri"/>
                <w:b/>
                <w:bCs/>
                <w:color w:val="FFFFFF"/>
                <w:sz w:val="18"/>
                <w:szCs w:val="18"/>
                <w:lang w:eastAsia="es-CR"/>
              </w:rPr>
              <w:t>TOTAL</w:t>
            </w:r>
          </w:p>
        </w:tc>
      </w:tr>
      <w:tr w:rsidR="007D0663" w:rsidRPr="007D0663" w14:paraId="5845D21E" w14:textId="77777777" w:rsidTr="007D0663">
        <w:trPr>
          <w:trHeight w:val="310"/>
        </w:trPr>
        <w:tc>
          <w:tcPr>
            <w:tcW w:w="1757" w:type="pct"/>
            <w:tcBorders>
              <w:top w:val="nil"/>
              <w:left w:val="double" w:sz="6" w:space="0" w:color="1F497D"/>
              <w:bottom w:val="double" w:sz="6" w:space="0" w:color="1F497D"/>
              <w:right w:val="double" w:sz="6" w:space="0" w:color="1F497D"/>
            </w:tcBorders>
            <w:shd w:val="clear" w:color="000000" w:fill="DCE6F1"/>
            <w:vAlign w:val="center"/>
            <w:hideMark/>
          </w:tcPr>
          <w:p w14:paraId="4ACFDE22" w14:textId="77777777" w:rsidR="007D0663" w:rsidRPr="00674BB8" w:rsidRDefault="007D0663" w:rsidP="007D0663">
            <w:pPr>
              <w:spacing w:after="0" w:line="240" w:lineRule="auto"/>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Confirmatorias</w:t>
            </w:r>
          </w:p>
        </w:tc>
        <w:tc>
          <w:tcPr>
            <w:tcW w:w="405" w:type="pct"/>
            <w:tcBorders>
              <w:top w:val="nil"/>
              <w:left w:val="nil"/>
              <w:bottom w:val="double" w:sz="6" w:space="0" w:color="1F497D"/>
              <w:right w:val="double" w:sz="6" w:space="0" w:color="1F497D"/>
            </w:tcBorders>
            <w:shd w:val="clear" w:color="000000" w:fill="DCE6F1"/>
            <w:vAlign w:val="center"/>
            <w:hideMark/>
          </w:tcPr>
          <w:p w14:paraId="2389A707" w14:textId="77777777" w:rsidR="007D0663" w:rsidRPr="00674BB8" w:rsidRDefault="007D0663" w:rsidP="007D0663">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502</w:t>
            </w:r>
          </w:p>
        </w:tc>
        <w:tc>
          <w:tcPr>
            <w:tcW w:w="405" w:type="pct"/>
            <w:tcBorders>
              <w:top w:val="nil"/>
              <w:left w:val="nil"/>
              <w:bottom w:val="double" w:sz="6" w:space="0" w:color="1F497D"/>
              <w:right w:val="double" w:sz="6" w:space="0" w:color="1F497D"/>
            </w:tcBorders>
            <w:shd w:val="clear" w:color="000000" w:fill="DCE6F1"/>
            <w:vAlign w:val="center"/>
            <w:hideMark/>
          </w:tcPr>
          <w:p w14:paraId="72D987DD" w14:textId="77777777" w:rsidR="007D0663" w:rsidRPr="00674BB8" w:rsidRDefault="007D0663" w:rsidP="007D0663">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1189</w:t>
            </w:r>
          </w:p>
        </w:tc>
        <w:tc>
          <w:tcPr>
            <w:tcW w:w="405" w:type="pct"/>
            <w:tcBorders>
              <w:top w:val="nil"/>
              <w:left w:val="nil"/>
              <w:bottom w:val="double" w:sz="6" w:space="0" w:color="1F497D"/>
              <w:right w:val="double" w:sz="6" w:space="0" w:color="1F497D"/>
            </w:tcBorders>
            <w:shd w:val="clear" w:color="000000" w:fill="DCE6F1"/>
            <w:vAlign w:val="center"/>
            <w:hideMark/>
          </w:tcPr>
          <w:p w14:paraId="1E3E1EB3" w14:textId="77777777" w:rsidR="007D0663" w:rsidRPr="00674BB8" w:rsidRDefault="007D0663" w:rsidP="007D0663">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539</w:t>
            </w:r>
          </w:p>
        </w:tc>
        <w:tc>
          <w:tcPr>
            <w:tcW w:w="405" w:type="pct"/>
            <w:tcBorders>
              <w:top w:val="nil"/>
              <w:left w:val="nil"/>
              <w:bottom w:val="double" w:sz="6" w:space="0" w:color="1F497D"/>
              <w:right w:val="double" w:sz="6" w:space="0" w:color="1F497D"/>
            </w:tcBorders>
            <w:shd w:val="clear" w:color="000000" w:fill="DCE6F1"/>
            <w:vAlign w:val="center"/>
            <w:hideMark/>
          </w:tcPr>
          <w:p w14:paraId="502C84C7" w14:textId="77777777" w:rsidR="007D0663" w:rsidRPr="00674BB8" w:rsidRDefault="007D0663" w:rsidP="007D0663">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805</w:t>
            </w:r>
          </w:p>
        </w:tc>
        <w:tc>
          <w:tcPr>
            <w:tcW w:w="405" w:type="pct"/>
            <w:tcBorders>
              <w:top w:val="nil"/>
              <w:left w:val="nil"/>
              <w:bottom w:val="double" w:sz="6" w:space="0" w:color="1F497D"/>
              <w:right w:val="double" w:sz="6" w:space="0" w:color="1F497D"/>
            </w:tcBorders>
            <w:shd w:val="clear" w:color="000000" w:fill="DCE6F1"/>
            <w:vAlign w:val="center"/>
            <w:hideMark/>
          </w:tcPr>
          <w:p w14:paraId="56EEB8A2" w14:textId="77777777" w:rsidR="007D0663" w:rsidRPr="00674BB8" w:rsidRDefault="007D0663" w:rsidP="007D0663">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507</w:t>
            </w:r>
          </w:p>
        </w:tc>
        <w:tc>
          <w:tcPr>
            <w:tcW w:w="405" w:type="pct"/>
            <w:tcBorders>
              <w:top w:val="nil"/>
              <w:left w:val="nil"/>
              <w:bottom w:val="double" w:sz="6" w:space="0" w:color="1F497D"/>
              <w:right w:val="double" w:sz="6" w:space="0" w:color="1F497D"/>
            </w:tcBorders>
            <w:shd w:val="clear" w:color="000000" w:fill="DCE6F1"/>
            <w:vAlign w:val="center"/>
            <w:hideMark/>
          </w:tcPr>
          <w:p w14:paraId="1F2DFFBC" w14:textId="77777777" w:rsidR="007D0663" w:rsidRPr="00674BB8" w:rsidRDefault="007D0663" w:rsidP="007D0663">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370</w:t>
            </w:r>
          </w:p>
        </w:tc>
        <w:tc>
          <w:tcPr>
            <w:tcW w:w="405" w:type="pct"/>
            <w:tcBorders>
              <w:top w:val="nil"/>
              <w:left w:val="nil"/>
              <w:bottom w:val="double" w:sz="6" w:space="0" w:color="1F497D"/>
              <w:right w:val="double" w:sz="6" w:space="0" w:color="1F497D"/>
            </w:tcBorders>
            <w:shd w:val="clear" w:color="000000" w:fill="DCE6F1"/>
            <w:vAlign w:val="center"/>
            <w:hideMark/>
          </w:tcPr>
          <w:p w14:paraId="42B8A3D1" w14:textId="77777777" w:rsidR="007D0663" w:rsidRPr="00674BB8" w:rsidRDefault="007D0663" w:rsidP="007D0663">
            <w:pPr>
              <w:spacing w:after="0" w:line="240" w:lineRule="auto"/>
              <w:jc w:val="center"/>
              <w:rPr>
                <w:rFonts w:ascii="Book Antiqua" w:eastAsia="Times New Roman" w:hAnsi="Book Antiqua" w:cs="Calibri"/>
                <w:color w:val="000000"/>
                <w:sz w:val="18"/>
                <w:szCs w:val="18"/>
                <w:lang w:eastAsia="es-CR"/>
              </w:rPr>
            </w:pPr>
            <w:r w:rsidRPr="00674BB8">
              <w:rPr>
                <w:rFonts w:ascii="Book Antiqua" w:eastAsia="Times New Roman" w:hAnsi="Book Antiqua" w:cs="Calibri"/>
                <w:color w:val="000000"/>
                <w:sz w:val="18"/>
                <w:szCs w:val="18"/>
                <w:lang w:eastAsia="es-CR"/>
              </w:rPr>
              <w:t>423</w:t>
            </w:r>
          </w:p>
        </w:tc>
        <w:tc>
          <w:tcPr>
            <w:tcW w:w="405" w:type="pct"/>
            <w:tcBorders>
              <w:top w:val="nil"/>
              <w:left w:val="nil"/>
              <w:bottom w:val="double" w:sz="6" w:space="0" w:color="1F497D"/>
              <w:right w:val="double" w:sz="6" w:space="0" w:color="1F497D"/>
            </w:tcBorders>
            <w:shd w:val="clear" w:color="000000" w:fill="DCE6F1"/>
            <w:vAlign w:val="center"/>
            <w:hideMark/>
          </w:tcPr>
          <w:p w14:paraId="40715E92" w14:textId="77777777" w:rsidR="007D0663" w:rsidRPr="00674BB8" w:rsidRDefault="007D0663" w:rsidP="007D0663">
            <w:pPr>
              <w:spacing w:after="0" w:line="240" w:lineRule="auto"/>
              <w:jc w:val="center"/>
              <w:rPr>
                <w:rFonts w:ascii="Book Antiqua" w:eastAsia="Times New Roman" w:hAnsi="Book Antiqua" w:cs="Calibri"/>
                <w:b/>
                <w:bCs/>
                <w:color w:val="000000"/>
                <w:sz w:val="18"/>
                <w:szCs w:val="18"/>
                <w:lang w:eastAsia="es-CR"/>
              </w:rPr>
            </w:pPr>
            <w:r w:rsidRPr="00674BB8">
              <w:rPr>
                <w:rFonts w:ascii="Book Antiqua" w:eastAsia="Times New Roman" w:hAnsi="Book Antiqua" w:cs="Calibri"/>
                <w:b/>
                <w:bCs/>
                <w:color w:val="000000"/>
                <w:sz w:val="18"/>
                <w:szCs w:val="18"/>
                <w:lang w:eastAsia="es-CR"/>
              </w:rPr>
              <w:t>4335</w:t>
            </w:r>
          </w:p>
        </w:tc>
      </w:tr>
      <w:tr w:rsidR="007D0663" w:rsidRPr="007D0663" w14:paraId="6745B5F9" w14:textId="77777777" w:rsidTr="00EB031E">
        <w:trPr>
          <w:trHeight w:val="310"/>
        </w:trPr>
        <w:tc>
          <w:tcPr>
            <w:tcW w:w="1757" w:type="pct"/>
            <w:tcBorders>
              <w:top w:val="nil"/>
              <w:left w:val="double" w:sz="6" w:space="0" w:color="1F497D"/>
              <w:bottom w:val="double" w:sz="6" w:space="0" w:color="1F497D"/>
              <w:right w:val="double" w:sz="6" w:space="0" w:color="1F497D"/>
            </w:tcBorders>
            <w:shd w:val="clear" w:color="auto" w:fill="auto"/>
            <w:vAlign w:val="center"/>
            <w:hideMark/>
          </w:tcPr>
          <w:p w14:paraId="099AA2E4" w14:textId="77777777" w:rsidR="007D0663" w:rsidRPr="00EB031E" w:rsidRDefault="007D0663" w:rsidP="007D0663">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Otro tipo de resolución</w:t>
            </w:r>
          </w:p>
        </w:tc>
        <w:tc>
          <w:tcPr>
            <w:tcW w:w="405" w:type="pct"/>
            <w:tcBorders>
              <w:top w:val="nil"/>
              <w:left w:val="nil"/>
              <w:bottom w:val="double" w:sz="6" w:space="0" w:color="1F497D"/>
              <w:right w:val="double" w:sz="6" w:space="0" w:color="1F497D"/>
            </w:tcBorders>
            <w:shd w:val="clear" w:color="auto" w:fill="auto"/>
            <w:vAlign w:val="center"/>
            <w:hideMark/>
          </w:tcPr>
          <w:p w14:paraId="0C67BE14"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127</w:t>
            </w:r>
          </w:p>
        </w:tc>
        <w:tc>
          <w:tcPr>
            <w:tcW w:w="405" w:type="pct"/>
            <w:tcBorders>
              <w:top w:val="nil"/>
              <w:left w:val="nil"/>
              <w:bottom w:val="double" w:sz="6" w:space="0" w:color="1F497D"/>
              <w:right w:val="double" w:sz="6" w:space="0" w:color="1F497D"/>
            </w:tcBorders>
            <w:shd w:val="clear" w:color="auto" w:fill="auto"/>
            <w:vAlign w:val="center"/>
            <w:hideMark/>
          </w:tcPr>
          <w:p w14:paraId="02F3B00E"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1352</w:t>
            </w:r>
          </w:p>
        </w:tc>
        <w:tc>
          <w:tcPr>
            <w:tcW w:w="405" w:type="pct"/>
            <w:tcBorders>
              <w:top w:val="nil"/>
              <w:left w:val="nil"/>
              <w:bottom w:val="double" w:sz="6" w:space="0" w:color="1F497D"/>
              <w:right w:val="double" w:sz="6" w:space="0" w:color="1F497D"/>
            </w:tcBorders>
            <w:shd w:val="clear" w:color="auto" w:fill="auto"/>
            <w:vAlign w:val="center"/>
            <w:hideMark/>
          </w:tcPr>
          <w:p w14:paraId="59B5B1B2"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199</w:t>
            </w:r>
          </w:p>
        </w:tc>
        <w:tc>
          <w:tcPr>
            <w:tcW w:w="405" w:type="pct"/>
            <w:tcBorders>
              <w:top w:val="nil"/>
              <w:left w:val="nil"/>
              <w:bottom w:val="double" w:sz="6" w:space="0" w:color="1F497D"/>
              <w:right w:val="double" w:sz="6" w:space="0" w:color="1F497D"/>
            </w:tcBorders>
            <w:shd w:val="clear" w:color="auto" w:fill="auto"/>
            <w:vAlign w:val="center"/>
            <w:hideMark/>
          </w:tcPr>
          <w:p w14:paraId="2A6EE4BE"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155</w:t>
            </w:r>
          </w:p>
        </w:tc>
        <w:tc>
          <w:tcPr>
            <w:tcW w:w="405" w:type="pct"/>
            <w:tcBorders>
              <w:top w:val="nil"/>
              <w:left w:val="nil"/>
              <w:bottom w:val="double" w:sz="6" w:space="0" w:color="1F497D"/>
              <w:right w:val="double" w:sz="6" w:space="0" w:color="1F497D"/>
            </w:tcBorders>
            <w:shd w:val="clear" w:color="auto" w:fill="auto"/>
            <w:vAlign w:val="center"/>
            <w:hideMark/>
          </w:tcPr>
          <w:p w14:paraId="7B4A06CA"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73</w:t>
            </w:r>
          </w:p>
        </w:tc>
        <w:tc>
          <w:tcPr>
            <w:tcW w:w="405" w:type="pct"/>
            <w:tcBorders>
              <w:top w:val="nil"/>
              <w:left w:val="nil"/>
              <w:bottom w:val="double" w:sz="6" w:space="0" w:color="1F497D"/>
              <w:right w:val="double" w:sz="6" w:space="0" w:color="1F497D"/>
            </w:tcBorders>
            <w:shd w:val="clear" w:color="auto" w:fill="auto"/>
            <w:vAlign w:val="center"/>
            <w:hideMark/>
          </w:tcPr>
          <w:p w14:paraId="61F3754F"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114</w:t>
            </w:r>
          </w:p>
        </w:tc>
        <w:tc>
          <w:tcPr>
            <w:tcW w:w="405" w:type="pct"/>
            <w:tcBorders>
              <w:top w:val="nil"/>
              <w:left w:val="nil"/>
              <w:bottom w:val="double" w:sz="6" w:space="0" w:color="1F497D"/>
              <w:right w:val="double" w:sz="6" w:space="0" w:color="1F497D"/>
            </w:tcBorders>
            <w:shd w:val="clear" w:color="auto" w:fill="auto"/>
            <w:vAlign w:val="center"/>
            <w:hideMark/>
          </w:tcPr>
          <w:p w14:paraId="53E83057"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44</w:t>
            </w:r>
          </w:p>
        </w:tc>
        <w:tc>
          <w:tcPr>
            <w:tcW w:w="405" w:type="pct"/>
            <w:tcBorders>
              <w:top w:val="nil"/>
              <w:left w:val="nil"/>
              <w:bottom w:val="double" w:sz="6" w:space="0" w:color="1F497D"/>
              <w:right w:val="double" w:sz="6" w:space="0" w:color="1F497D"/>
            </w:tcBorders>
            <w:shd w:val="clear" w:color="auto" w:fill="auto"/>
            <w:vAlign w:val="center"/>
            <w:hideMark/>
          </w:tcPr>
          <w:p w14:paraId="0D934EE1" w14:textId="77777777" w:rsidR="007D0663" w:rsidRPr="00EB031E" w:rsidRDefault="007D0663" w:rsidP="007D066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2064</w:t>
            </w:r>
          </w:p>
        </w:tc>
      </w:tr>
      <w:tr w:rsidR="007D0663" w:rsidRPr="007D0663" w14:paraId="4B484566" w14:textId="77777777" w:rsidTr="007D0663">
        <w:trPr>
          <w:trHeight w:val="310"/>
        </w:trPr>
        <w:tc>
          <w:tcPr>
            <w:tcW w:w="1757" w:type="pct"/>
            <w:tcBorders>
              <w:top w:val="nil"/>
              <w:left w:val="double" w:sz="6" w:space="0" w:color="1F497D"/>
              <w:bottom w:val="double" w:sz="6" w:space="0" w:color="1F497D"/>
              <w:right w:val="double" w:sz="6" w:space="0" w:color="1F497D"/>
            </w:tcBorders>
            <w:shd w:val="clear" w:color="000000" w:fill="DCE6F1"/>
            <w:vAlign w:val="center"/>
            <w:hideMark/>
          </w:tcPr>
          <w:p w14:paraId="7863000C" w14:textId="77777777" w:rsidR="007D0663" w:rsidRPr="00EB031E" w:rsidRDefault="007D0663" w:rsidP="007D0663">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Revocatorias</w:t>
            </w:r>
          </w:p>
        </w:tc>
        <w:tc>
          <w:tcPr>
            <w:tcW w:w="405" w:type="pct"/>
            <w:tcBorders>
              <w:top w:val="nil"/>
              <w:left w:val="nil"/>
              <w:bottom w:val="double" w:sz="6" w:space="0" w:color="1F497D"/>
              <w:right w:val="double" w:sz="6" w:space="0" w:color="1F497D"/>
            </w:tcBorders>
            <w:shd w:val="clear" w:color="000000" w:fill="DCE6F1"/>
            <w:vAlign w:val="center"/>
            <w:hideMark/>
          </w:tcPr>
          <w:p w14:paraId="0905D076"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309</w:t>
            </w:r>
          </w:p>
        </w:tc>
        <w:tc>
          <w:tcPr>
            <w:tcW w:w="405" w:type="pct"/>
            <w:tcBorders>
              <w:top w:val="nil"/>
              <w:left w:val="nil"/>
              <w:bottom w:val="double" w:sz="6" w:space="0" w:color="1F497D"/>
              <w:right w:val="double" w:sz="6" w:space="0" w:color="1F497D"/>
            </w:tcBorders>
            <w:shd w:val="clear" w:color="000000" w:fill="DCE6F1"/>
            <w:vAlign w:val="center"/>
            <w:hideMark/>
          </w:tcPr>
          <w:p w14:paraId="3F1AFB56"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409</w:t>
            </w:r>
          </w:p>
        </w:tc>
        <w:tc>
          <w:tcPr>
            <w:tcW w:w="405" w:type="pct"/>
            <w:tcBorders>
              <w:top w:val="nil"/>
              <w:left w:val="nil"/>
              <w:bottom w:val="double" w:sz="6" w:space="0" w:color="1F497D"/>
              <w:right w:val="double" w:sz="6" w:space="0" w:color="1F497D"/>
            </w:tcBorders>
            <w:shd w:val="clear" w:color="000000" w:fill="DCE6F1"/>
            <w:vAlign w:val="center"/>
            <w:hideMark/>
          </w:tcPr>
          <w:p w14:paraId="0928DC20"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123</w:t>
            </w:r>
          </w:p>
        </w:tc>
        <w:tc>
          <w:tcPr>
            <w:tcW w:w="405" w:type="pct"/>
            <w:tcBorders>
              <w:top w:val="nil"/>
              <w:left w:val="nil"/>
              <w:bottom w:val="double" w:sz="6" w:space="0" w:color="1F497D"/>
              <w:right w:val="double" w:sz="6" w:space="0" w:color="1F497D"/>
            </w:tcBorders>
            <w:shd w:val="clear" w:color="000000" w:fill="DCE6F1"/>
            <w:vAlign w:val="center"/>
            <w:hideMark/>
          </w:tcPr>
          <w:p w14:paraId="7F916ED8"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216</w:t>
            </w:r>
          </w:p>
        </w:tc>
        <w:tc>
          <w:tcPr>
            <w:tcW w:w="405" w:type="pct"/>
            <w:tcBorders>
              <w:top w:val="nil"/>
              <w:left w:val="nil"/>
              <w:bottom w:val="double" w:sz="6" w:space="0" w:color="1F497D"/>
              <w:right w:val="double" w:sz="6" w:space="0" w:color="1F497D"/>
            </w:tcBorders>
            <w:shd w:val="clear" w:color="000000" w:fill="DCE6F1"/>
            <w:vAlign w:val="center"/>
            <w:hideMark/>
          </w:tcPr>
          <w:p w14:paraId="09564FA8"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116</w:t>
            </w:r>
          </w:p>
        </w:tc>
        <w:tc>
          <w:tcPr>
            <w:tcW w:w="405" w:type="pct"/>
            <w:tcBorders>
              <w:top w:val="nil"/>
              <w:left w:val="nil"/>
              <w:bottom w:val="double" w:sz="6" w:space="0" w:color="1F497D"/>
              <w:right w:val="double" w:sz="6" w:space="0" w:color="1F497D"/>
            </w:tcBorders>
            <w:shd w:val="clear" w:color="000000" w:fill="DCE6F1"/>
            <w:vAlign w:val="center"/>
            <w:hideMark/>
          </w:tcPr>
          <w:p w14:paraId="4F3A84D2"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244</w:t>
            </w:r>
          </w:p>
        </w:tc>
        <w:tc>
          <w:tcPr>
            <w:tcW w:w="405" w:type="pct"/>
            <w:tcBorders>
              <w:top w:val="nil"/>
              <w:left w:val="nil"/>
              <w:bottom w:val="double" w:sz="6" w:space="0" w:color="1F497D"/>
              <w:right w:val="double" w:sz="6" w:space="0" w:color="1F497D"/>
            </w:tcBorders>
            <w:shd w:val="clear" w:color="000000" w:fill="DCE6F1"/>
            <w:vAlign w:val="center"/>
            <w:hideMark/>
          </w:tcPr>
          <w:p w14:paraId="13064D40"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299</w:t>
            </w:r>
          </w:p>
        </w:tc>
        <w:tc>
          <w:tcPr>
            <w:tcW w:w="405" w:type="pct"/>
            <w:tcBorders>
              <w:top w:val="nil"/>
              <w:left w:val="nil"/>
              <w:bottom w:val="double" w:sz="6" w:space="0" w:color="1F497D"/>
              <w:right w:val="double" w:sz="6" w:space="0" w:color="1F497D"/>
            </w:tcBorders>
            <w:shd w:val="clear" w:color="000000" w:fill="DCE6F1"/>
            <w:vAlign w:val="center"/>
            <w:hideMark/>
          </w:tcPr>
          <w:p w14:paraId="73CE455F" w14:textId="77777777" w:rsidR="007D0663" w:rsidRPr="00EB031E" w:rsidRDefault="007D0663" w:rsidP="007D066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1716</w:t>
            </w:r>
          </w:p>
        </w:tc>
      </w:tr>
      <w:tr w:rsidR="007D0663" w:rsidRPr="007D0663" w14:paraId="55744836" w14:textId="77777777" w:rsidTr="00EB031E">
        <w:trPr>
          <w:trHeight w:val="310"/>
        </w:trPr>
        <w:tc>
          <w:tcPr>
            <w:tcW w:w="1757" w:type="pct"/>
            <w:tcBorders>
              <w:top w:val="nil"/>
              <w:left w:val="double" w:sz="6" w:space="0" w:color="1F497D"/>
              <w:bottom w:val="double" w:sz="6" w:space="0" w:color="1F497D"/>
              <w:right w:val="double" w:sz="6" w:space="0" w:color="1F497D"/>
            </w:tcBorders>
            <w:shd w:val="clear" w:color="auto" w:fill="auto"/>
            <w:vAlign w:val="center"/>
            <w:hideMark/>
          </w:tcPr>
          <w:p w14:paraId="2E9B2582" w14:textId="77777777" w:rsidR="007D0663" w:rsidRPr="00EB031E" w:rsidRDefault="007D0663" w:rsidP="007D0663">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Desierta, mal admitida</w:t>
            </w:r>
          </w:p>
        </w:tc>
        <w:tc>
          <w:tcPr>
            <w:tcW w:w="405" w:type="pct"/>
            <w:tcBorders>
              <w:top w:val="nil"/>
              <w:left w:val="nil"/>
              <w:bottom w:val="double" w:sz="6" w:space="0" w:color="1F497D"/>
              <w:right w:val="double" w:sz="6" w:space="0" w:color="1F497D"/>
            </w:tcBorders>
            <w:shd w:val="clear" w:color="auto" w:fill="auto"/>
            <w:vAlign w:val="center"/>
            <w:hideMark/>
          </w:tcPr>
          <w:p w14:paraId="10FAC2B2"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343</w:t>
            </w:r>
          </w:p>
        </w:tc>
        <w:tc>
          <w:tcPr>
            <w:tcW w:w="405" w:type="pct"/>
            <w:tcBorders>
              <w:top w:val="nil"/>
              <w:left w:val="nil"/>
              <w:bottom w:val="double" w:sz="6" w:space="0" w:color="1F497D"/>
              <w:right w:val="double" w:sz="6" w:space="0" w:color="1F497D"/>
            </w:tcBorders>
            <w:shd w:val="clear" w:color="auto" w:fill="auto"/>
            <w:vAlign w:val="center"/>
            <w:hideMark/>
          </w:tcPr>
          <w:p w14:paraId="7F0BF1AA"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401</w:t>
            </w:r>
          </w:p>
        </w:tc>
        <w:tc>
          <w:tcPr>
            <w:tcW w:w="405" w:type="pct"/>
            <w:tcBorders>
              <w:top w:val="nil"/>
              <w:left w:val="nil"/>
              <w:bottom w:val="double" w:sz="6" w:space="0" w:color="1F497D"/>
              <w:right w:val="double" w:sz="6" w:space="0" w:color="1F497D"/>
            </w:tcBorders>
            <w:shd w:val="clear" w:color="auto" w:fill="auto"/>
            <w:vAlign w:val="center"/>
            <w:hideMark/>
          </w:tcPr>
          <w:p w14:paraId="08430025"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164</w:t>
            </w:r>
          </w:p>
        </w:tc>
        <w:tc>
          <w:tcPr>
            <w:tcW w:w="405" w:type="pct"/>
            <w:tcBorders>
              <w:top w:val="nil"/>
              <w:left w:val="nil"/>
              <w:bottom w:val="double" w:sz="6" w:space="0" w:color="1F497D"/>
              <w:right w:val="double" w:sz="6" w:space="0" w:color="1F497D"/>
            </w:tcBorders>
            <w:shd w:val="clear" w:color="auto" w:fill="auto"/>
            <w:vAlign w:val="center"/>
            <w:hideMark/>
          </w:tcPr>
          <w:p w14:paraId="0D6948D0"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210</w:t>
            </w:r>
          </w:p>
        </w:tc>
        <w:tc>
          <w:tcPr>
            <w:tcW w:w="405" w:type="pct"/>
            <w:tcBorders>
              <w:top w:val="nil"/>
              <w:left w:val="nil"/>
              <w:bottom w:val="double" w:sz="6" w:space="0" w:color="1F497D"/>
              <w:right w:val="double" w:sz="6" w:space="0" w:color="1F497D"/>
            </w:tcBorders>
            <w:shd w:val="clear" w:color="auto" w:fill="auto"/>
            <w:vAlign w:val="center"/>
            <w:hideMark/>
          </w:tcPr>
          <w:p w14:paraId="1B1AFDF9"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135</w:t>
            </w:r>
          </w:p>
        </w:tc>
        <w:tc>
          <w:tcPr>
            <w:tcW w:w="405" w:type="pct"/>
            <w:tcBorders>
              <w:top w:val="nil"/>
              <w:left w:val="nil"/>
              <w:bottom w:val="double" w:sz="6" w:space="0" w:color="1F497D"/>
              <w:right w:val="double" w:sz="6" w:space="0" w:color="1F497D"/>
            </w:tcBorders>
            <w:shd w:val="clear" w:color="auto" w:fill="auto"/>
            <w:vAlign w:val="center"/>
            <w:hideMark/>
          </w:tcPr>
          <w:p w14:paraId="758E0BF3"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83</w:t>
            </w:r>
          </w:p>
        </w:tc>
        <w:tc>
          <w:tcPr>
            <w:tcW w:w="405" w:type="pct"/>
            <w:tcBorders>
              <w:top w:val="nil"/>
              <w:left w:val="nil"/>
              <w:bottom w:val="double" w:sz="6" w:space="0" w:color="1F497D"/>
              <w:right w:val="double" w:sz="6" w:space="0" w:color="1F497D"/>
            </w:tcBorders>
            <w:shd w:val="clear" w:color="auto" w:fill="auto"/>
            <w:vAlign w:val="center"/>
            <w:hideMark/>
          </w:tcPr>
          <w:p w14:paraId="656D68F4"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54</w:t>
            </w:r>
          </w:p>
        </w:tc>
        <w:tc>
          <w:tcPr>
            <w:tcW w:w="405" w:type="pct"/>
            <w:tcBorders>
              <w:top w:val="nil"/>
              <w:left w:val="nil"/>
              <w:bottom w:val="double" w:sz="6" w:space="0" w:color="1F497D"/>
              <w:right w:val="double" w:sz="6" w:space="0" w:color="1F497D"/>
            </w:tcBorders>
            <w:shd w:val="clear" w:color="auto" w:fill="auto"/>
            <w:vAlign w:val="center"/>
            <w:hideMark/>
          </w:tcPr>
          <w:p w14:paraId="31604643" w14:textId="77777777" w:rsidR="007D0663" w:rsidRPr="00EB031E" w:rsidRDefault="007D0663" w:rsidP="007D066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1390</w:t>
            </w:r>
          </w:p>
        </w:tc>
      </w:tr>
      <w:tr w:rsidR="007D0663" w:rsidRPr="007D0663" w14:paraId="299E4342" w14:textId="77777777" w:rsidTr="007D0663">
        <w:trPr>
          <w:trHeight w:val="310"/>
        </w:trPr>
        <w:tc>
          <w:tcPr>
            <w:tcW w:w="1757" w:type="pct"/>
            <w:tcBorders>
              <w:top w:val="nil"/>
              <w:left w:val="double" w:sz="6" w:space="0" w:color="1F497D"/>
              <w:bottom w:val="double" w:sz="6" w:space="0" w:color="1F497D"/>
              <w:right w:val="double" w:sz="6" w:space="0" w:color="1F497D"/>
            </w:tcBorders>
            <w:shd w:val="clear" w:color="000000" w:fill="DCE6F1"/>
            <w:vAlign w:val="center"/>
            <w:hideMark/>
          </w:tcPr>
          <w:p w14:paraId="69033195" w14:textId="77777777" w:rsidR="007D0663" w:rsidRPr="00EB031E" w:rsidRDefault="007D0663" w:rsidP="007D0663">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Anulaciones</w:t>
            </w:r>
          </w:p>
        </w:tc>
        <w:tc>
          <w:tcPr>
            <w:tcW w:w="405" w:type="pct"/>
            <w:tcBorders>
              <w:top w:val="nil"/>
              <w:left w:val="nil"/>
              <w:bottom w:val="double" w:sz="6" w:space="0" w:color="1F497D"/>
              <w:right w:val="double" w:sz="6" w:space="0" w:color="1F497D"/>
            </w:tcBorders>
            <w:shd w:val="clear" w:color="000000" w:fill="DCE6F1"/>
            <w:vAlign w:val="center"/>
            <w:hideMark/>
          </w:tcPr>
          <w:p w14:paraId="3A920589"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128</w:t>
            </w:r>
          </w:p>
        </w:tc>
        <w:tc>
          <w:tcPr>
            <w:tcW w:w="405" w:type="pct"/>
            <w:tcBorders>
              <w:top w:val="nil"/>
              <w:left w:val="nil"/>
              <w:bottom w:val="double" w:sz="6" w:space="0" w:color="1F497D"/>
              <w:right w:val="double" w:sz="6" w:space="0" w:color="1F497D"/>
            </w:tcBorders>
            <w:shd w:val="clear" w:color="000000" w:fill="DCE6F1"/>
            <w:vAlign w:val="center"/>
            <w:hideMark/>
          </w:tcPr>
          <w:p w14:paraId="0EEB1B89"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221</w:t>
            </w:r>
          </w:p>
        </w:tc>
        <w:tc>
          <w:tcPr>
            <w:tcW w:w="405" w:type="pct"/>
            <w:tcBorders>
              <w:top w:val="nil"/>
              <w:left w:val="nil"/>
              <w:bottom w:val="double" w:sz="6" w:space="0" w:color="1F497D"/>
              <w:right w:val="double" w:sz="6" w:space="0" w:color="1F497D"/>
            </w:tcBorders>
            <w:shd w:val="clear" w:color="000000" w:fill="DCE6F1"/>
            <w:vAlign w:val="center"/>
            <w:hideMark/>
          </w:tcPr>
          <w:p w14:paraId="6C8C042C"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119</w:t>
            </w:r>
          </w:p>
        </w:tc>
        <w:tc>
          <w:tcPr>
            <w:tcW w:w="405" w:type="pct"/>
            <w:tcBorders>
              <w:top w:val="nil"/>
              <w:left w:val="nil"/>
              <w:bottom w:val="double" w:sz="6" w:space="0" w:color="1F497D"/>
              <w:right w:val="double" w:sz="6" w:space="0" w:color="1F497D"/>
            </w:tcBorders>
            <w:shd w:val="clear" w:color="000000" w:fill="DCE6F1"/>
            <w:vAlign w:val="center"/>
            <w:hideMark/>
          </w:tcPr>
          <w:p w14:paraId="52890F08"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172</w:t>
            </w:r>
          </w:p>
        </w:tc>
        <w:tc>
          <w:tcPr>
            <w:tcW w:w="405" w:type="pct"/>
            <w:tcBorders>
              <w:top w:val="nil"/>
              <w:left w:val="nil"/>
              <w:bottom w:val="double" w:sz="6" w:space="0" w:color="1F497D"/>
              <w:right w:val="double" w:sz="6" w:space="0" w:color="1F497D"/>
            </w:tcBorders>
            <w:shd w:val="clear" w:color="000000" w:fill="DCE6F1"/>
            <w:vAlign w:val="center"/>
            <w:hideMark/>
          </w:tcPr>
          <w:p w14:paraId="6F129A44"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138</w:t>
            </w:r>
          </w:p>
        </w:tc>
        <w:tc>
          <w:tcPr>
            <w:tcW w:w="405" w:type="pct"/>
            <w:tcBorders>
              <w:top w:val="nil"/>
              <w:left w:val="nil"/>
              <w:bottom w:val="double" w:sz="6" w:space="0" w:color="1F497D"/>
              <w:right w:val="double" w:sz="6" w:space="0" w:color="1F497D"/>
            </w:tcBorders>
            <w:shd w:val="clear" w:color="000000" w:fill="DCE6F1"/>
            <w:vAlign w:val="center"/>
            <w:hideMark/>
          </w:tcPr>
          <w:p w14:paraId="37B52647"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99</w:t>
            </w:r>
          </w:p>
        </w:tc>
        <w:tc>
          <w:tcPr>
            <w:tcW w:w="405" w:type="pct"/>
            <w:tcBorders>
              <w:top w:val="nil"/>
              <w:left w:val="nil"/>
              <w:bottom w:val="double" w:sz="6" w:space="0" w:color="1F497D"/>
              <w:right w:val="double" w:sz="6" w:space="0" w:color="1F497D"/>
            </w:tcBorders>
            <w:shd w:val="clear" w:color="000000" w:fill="DCE6F1"/>
            <w:vAlign w:val="center"/>
            <w:hideMark/>
          </w:tcPr>
          <w:p w14:paraId="3B8A4A22"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144</w:t>
            </w:r>
          </w:p>
        </w:tc>
        <w:tc>
          <w:tcPr>
            <w:tcW w:w="405" w:type="pct"/>
            <w:tcBorders>
              <w:top w:val="nil"/>
              <w:left w:val="nil"/>
              <w:bottom w:val="double" w:sz="6" w:space="0" w:color="1F497D"/>
              <w:right w:val="double" w:sz="6" w:space="0" w:color="1F497D"/>
            </w:tcBorders>
            <w:shd w:val="clear" w:color="000000" w:fill="DCE6F1"/>
            <w:vAlign w:val="center"/>
            <w:hideMark/>
          </w:tcPr>
          <w:p w14:paraId="434ADA1C" w14:textId="77777777" w:rsidR="007D0663" w:rsidRPr="00EB031E" w:rsidRDefault="007D0663" w:rsidP="007D066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1021</w:t>
            </w:r>
          </w:p>
        </w:tc>
      </w:tr>
      <w:tr w:rsidR="007D0663" w:rsidRPr="007D0663" w14:paraId="1AA02C68" w14:textId="77777777" w:rsidTr="00EB031E">
        <w:trPr>
          <w:trHeight w:val="310"/>
        </w:trPr>
        <w:tc>
          <w:tcPr>
            <w:tcW w:w="1757" w:type="pct"/>
            <w:tcBorders>
              <w:top w:val="nil"/>
              <w:left w:val="double" w:sz="6" w:space="0" w:color="1F497D"/>
              <w:bottom w:val="double" w:sz="6" w:space="0" w:color="1F497D"/>
              <w:right w:val="double" w:sz="6" w:space="0" w:color="1F497D"/>
            </w:tcBorders>
            <w:shd w:val="clear" w:color="auto" w:fill="auto"/>
            <w:vAlign w:val="center"/>
            <w:hideMark/>
          </w:tcPr>
          <w:p w14:paraId="378701B6" w14:textId="77777777" w:rsidR="007D0663" w:rsidRPr="00EB031E" w:rsidRDefault="007D0663" w:rsidP="007D0663">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Rechazado de plano</w:t>
            </w:r>
          </w:p>
        </w:tc>
        <w:tc>
          <w:tcPr>
            <w:tcW w:w="405" w:type="pct"/>
            <w:tcBorders>
              <w:top w:val="nil"/>
              <w:left w:val="nil"/>
              <w:bottom w:val="double" w:sz="6" w:space="0" w:color="1F497D"/>
              <w:right w:val="double" w:sz="6" w:space="0" w:color="1F497D"/>
            </w:tcBorders>
            <w:shd w:val="clear" w:color="auto" w:fill="auto"/>
            <w:vAlign w:val="center"/>
            <w:hideMark/>
          </w:tcPr>
          <w:p w14:paraId="51596893"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23</w:t>
            </w:r>
          </w:p>
        </w:tc>
        <w:tc>
          <w:tcPr>
            <w:tcW w:w="405" w:type="pct"/>
            <w:tcBorders>
              <w:top w:val="nil"/>
              <w:left w:val="nil"/>
              <w:bottom w:val="double" w:sz="6" w:space="0" w:color="1F497D"/>
              <w:right w:val="double" w:sz="6" w:space="0" w:color="1F497D"/>
            </w:tcBorders>
            <w:shd w:val="clear" w:color="auto" w:fill="auto"/>
            <w:vAlign w:val="center"/>
            <w:hideMark/>
          </w:tcPr>
          <w:p w14:paraId="6E0DB7DA"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89</w:t>
            </w:r>
          </w:p>
        </w:tc>
        <w:tc>
          <w:tcPr>
            <w:tcW w:w="405" w:type="pct"/>
            <w:tcBorders>
              <w:top w:val="nil"/>
              <w:left w:val="nil"/>
              <w:bottom w:val="double" w:sz="6" w:space="0" w:color="1F497D"/>
              <w:right w:val="double" w:sz="6" w:space="0" w:color="1F497D"/>
            </w:tcBorders>
            <w:shd w:val="clear" w:color="auto" w:fill="auto"/>
            <w:vAlign w:val="center"/>
            <w:hideMark/>
          </w:tcPr>
          <w:p w14:paraId="1F5307FB"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48</w:t>
            </w:r>
          </w:p>
        </w:tc>
        <w:tc>
          <w:tcPr>
            <w:tcW w:w="405" w:type="pct"/>
            <w:tcBorders>
              <w:top w:val="nil"/>
              <w:left w:val="nil"/>
              <w:bottom w:val="double" w:sz="6" w:space="0" w:color="1F497D"/>
              <w:right w:val="double" w:sz="6" w:space="0" w:color="1F497D"/>
            </w:tcBorders>
            <w:shd w:val="clear" w:color="auto" w:fill="auto"/>
            <w:vAlign w:val="center"/>
            <w:hideMark/>
          </w:tcPr>
          <w:p w14:paraId="4F65DD4F"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19</w:t>
            </w:r>
          </w:p>
        </w:tc>
        <w:tc>
          <w:tcPr>
            <w:tcW w:w="405" w:type="pct"/>
            <w:tcBorders>
              <w:top w:val="nil"/>
              <w:left w:val="nil"/>
              <w:bottom w:val="double" w:sz="6" w:space="0" w:color="1F497D"/>
              <w:right w:val="double" w:sz="6" w:space="0" w:color="1F497D"/>
            </w:tcBorders>
            <w:shd w:val="clear" w:color="auto" w:fill="auto"/>
            <w:vAlign w:val="center"/>
            <w:hideMark/>
          </w:tcPr>
          <w:p w14:paraId="11E7F139"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29</w:t>
            </w:r>
          </w:p>
        </w:tc>
        <w:tc>
          <w:tcPr>
            <w:tcW w:w="405" w:type="pct"/>
            <w:tcBorders>
              <w:top w:val="nil"/>
              <w:left w:val="nil"/>
              <w:bottom w:val="double" w:sz="6" w:space="0" w:color="1F497D"/>
              <w:right w:val="double" w:sz="6" w:space="0" w:color="1F497D"/>
            </w:tcBorders>
            <w:shd w:val="clear" w:color="auto" w:fill="auto"/>
            <w:vAlign w:val="center"/>
            <w:hideMark/>
          </w:tcPr>
          <w:p w14:paraId="0A1DE32A"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60</w:t>
            </w:r>
          </w:p>
        </w:tc>
        <w:tc>
          <w:tcPr>
            <w:tcW w:w="405" w:type="pct"/>
            <w:tcBorders>
              <w:top w:val="nil"/>
              <w:left w:val="nil"/>
              <w:bottom w:val="double" w:sz="6" w:space="0" w:color="1F497D"/>
              <w:right w:val="double" w:sz="6" w:space="0" w:color="1F497D"/>
            </w:tcBorders>
            <w:shd w:val="clear" w:color="auto" w:fill="auto"/>
            <w:vAlign w:val="center"/>
            <w:hideMark/>
          </w:tcPr>
          <w:p w14:paraId="37A0725D"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35</w:t>
            </w:r>
          </w:p>
        </w:tc>
        <w:tc>
          <w:tcPr>
            <w:tcW w:w="405" w:type="pct"/>
            <w:tcBorders>
              <w:top w:val="nil"/>
              <w:left w:val="nil"/>
              <w:bottom w:val="double" w:sz="6" w:space="0" w:color="1F497D"/>
              <w:right w:val="double" w:sz="6" w:space="0" w:color="1F497D"/>
            </w:tcBorders>
            <w:shd w:val="clear" w:color="auto" w:fill="auto"/>
            <w:vAlign w:val="center"/>
            <w:hideMark/>
          </w:tcPr>
          <w:p w14:paraId="215024CA" w14:textId="77777777" w:rsidR="007D0663" w:rsidRPr="00EB031E" w:rsidRDefault="007D0663" w:rsidP="007D066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303</w:t>
            </w:r>
          </w:p>
        </w:tc>
      </w:tr>
      <w:tr w:rsidR="007D0663" w:rsidRPr="007D0663" w14:paraId="128EC4A9" w14:textId="77777777" w:rsidTr="007D0663">
        <w:trPr>
          <w:trHeight w:val="310"/>
        </w:trPr>
        <w:tc>
          <w:tcPr>
            <w:tcW w:w="1757" w:type="pct"/>
            <w:tcBorders>
              <w:top w:val="nil"/>
              <w:left w:val="double" w:sz="6" w:space="0" w:color="1F497D"/>
              <w:bottom w:val="double" w:sz="6" w:space="0" w:color="1F497D"/>
              <w:right w:val="double" w:sz="6" w:space="0" w:color="1F497D"/>
            </w:tcBorders>
            <w:shd w:val="clear" w:color="000000" w:fill="DCE6F1"/>
            <w:vAlign w:val="center"/>
            <w:hideMark/>
          </w:tcPr>
          <w:p w14:paraId="0DD44F27" w14:textId="77777777" w:rsidR="007D0663" w:rsidRPr="00EB031E" w:rsidRDefault="007D0663" w:rsidP="007D0663">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Sin lugar (Apel. por inadmisión)</w:t>
            </w:r>
          </w:p>
        </w:tc>
        <w:tc>
          <w:tcPr>
            <w:tcW w:w="405" w:type="pct"/>
            <w:tcBorders>
              <w:top w:val="nil"/>
              <w:left w:val="nil"/>
              <w:bottom w:val="double" w:sz="6" w:space="0" w:color="1F497D"/>
              <w:right w:val="double" w:sz="6" w:space="0" w:color="1F497D"/>
            </w:tcBorders>
            <w:shd w:val="clear" w:color="000000" w:fill="DCE6F1"/>
            <w:vAlign w:val="center"/>
            <w:hideMark/>
          </w:tcPr>
          <w:p w14:paraId="24ED3594"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w:t>
            </w:r>
          </w:p>
        </w:tc>
        <w:tc>
          <w:tcPr>
            <w:tcW w:w="405" w:type="pct"/>
            <w:tcBorders>
              <w:top w:val="nil"/>
              <w:left w:val="nil"/>
              <w:bottom w:val="double" w:sz="6" w:space="0" w:color="1F497D"/>
              <w:right w:val="double" w:sz="6" w:space="0" w:color="1F497D"/>
            </w:tcBorders>
            <w:shd w:val="clear" w:color="000000" w:fill="DCE6F1"/>
            <w:vAlign w:val="center"/>
            <w:hideMark/>
          </w:tcPr>
          <w:p w14:paraId="3B2D4143"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53</w:t>
            </w:r>
          </w:p>
        </w:tc>
        <w:tc>
          <w:tcPr>
            <w:tcW w:w="405" w:type="pct"/>
            <w:tcBorders>
              <w:top w:val="nil"/>
              <w:left w:val="nil"/>
              <w:bottom w:val="double" w:sz="6" w:space="0" w:color="1F497D"/>
              <w:right w:val="double" w:sz="6" w:space="0" w:color="1F497D"/>
            </w:tcBorders>
            <w:shd w:val="clear" w:color="000000" w:fill="DCE6F1"/>
            <w:vAlign w:val="center"/>
            <w:hideMark/>
          </w:tcPr>
          <w:p w14:paraId="522D80A7"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27</w:t>
            </w:r>
          </w:p>
        </w:tc>
        <w:tc>
          <w:tcPr>
            <w:tcW w:w="405" w:type="pct"/>
            <w:tcBorders>
              <w:top w:val="nil"/>
              <w:left w:val="nil"/>
              <w:bottom w:val="double" w:sz="6" w:space="0" w:color="1F497D"/>
              <w:right w:val="double" w:sz="6" w:space="0" w:color="1F497D"/>
            </w:tcBorders>
            <w:shd w:val="clear" w:color="000000" w:fill="DCE6F1"/>
            <w:vAlign w:val="center"/>
            <w:hideMark/>
          </w:tcPr>
          <w:p w14:paraId="36AD744A"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17</w:t>
            </w:r>
          </w:p>
        </w:tc>
        <w:tc>
          <w:tcPr>
            <w:tcW w:w="405" w:type="pct"/>
            <w:tcBorders>
              <w:top w:val="nil"/>
              <w:left w:val="nil"/>
              <w:bottom w:val="double" w:sz="6" w:space="0" w:color="1F497D"/>
              <w:right w:val="double" w:sz="6" w:space="0" w:color="1F497D"/>
            </w:tcBorders>
            <w:shd w:val="clear" w:color="000000" w:fill="DCE6F1"/>
            <w:vAlign w:val="center"/>
            <w:hideMark/>
          </w:tcPr>
          <w:p w14:paraId="37530AC2"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8</w:t>
            </w:r>
          </w:p>
        </w:tc>
        <w:tc>
          <w:tcPr>
            <w:tcW w:w="405" w:type="pct"/>
            <w:tcBorders>
              <w:top w:val="nil"/>
              <w:left w:val="nil"/>
              <w:bottom w:val="double" w:sz="6" w:space="0" w:color="1F497D"/>
              <w:right w:val="double" w:sz="6" w:space="0" w:color="1F497D"/>
            </w:tcBorders>
            <w:shd w:val="clear" w:color="000000" w:fill="DCE6F1"/>
            <w:vAlign w:val="center"/>
            <w:hideMark/>
          </w:tcPr>
          <w:p w14:paraId="07D08015"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12</w:t>
            </w:r>
          </w:p>
        </w:tc>
        <w:tc>
          <w:tcPr>
            <w:tcW w:w="405" w:type="pct"/>
            <w:tcBorders>
              <w:top w:val="nil"/>
              <w:left w:val="nil"/>
              <w:bottom w:val="double" w:sz="6" w:space="0" w:color="1F497D"/>
              <w:right w:val="double" w:sz="6" w:space="0" w:color="1F497D"/>
            </w:tcBorders>
            <w:shd w:val="clear" w:color="000000" w:fill="DCE6F1"/>
            <w:vAlign w:val="center"/>
            <w:hideMark/>
          </w:tcPr>
          <w:p w14:paraId="64CE63AB" w14:textId="77777777" w:rsidR="007D0663" w:rsidRPr="00EB031E" w:rsidRDefault="007D0663" w:rsidP="007D0663">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0</w:t>
            </w:r>
          </w:p>
        </w:tc>
        <w:tc>
          <w:tcPr>
            <w:tcW w:w="405" w:type="pct"/>
            <w:tcBorders>
              <w:top w:val="nil"/>
              <w:left w:val="nil"/>
              <w:bottom w:val="double" w:sz="6" w:space="0" w:color="1F497D"/>
              <w:right w:val="double" w:sz="6" w:space="0" w:color="1F497D"/>
            </w:tcBorders>
            <w:shd w:val="clear" w:color="000000" w:fill="DCE6F1"/>
            <w:vAlign w:val="center"/>
            <w:hideMark/>
          </w:tcPr>
          <w:p w14:paraId="5CD2803E" w14:textId="77777777" w:rsidR="007D0663" w:rsidRPr="00EB031E" w:rsidRDefault="007D0663" w:rsidP="007D066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121</w:t>
            </w:r>
          </w:p>
        </w:tc>
      </w:tr>
      <w:tr w:rsidR="007D0663" w:rsidRPr="007D0663" w14:paraId="70D3D5A0" w14:textId="77777777" w:rsidTr="00EB031E">
        <w:trPr>
          <w:trHeight w:val="310"/>
        </w:trPr>
        <w:tc>
          <w:tcPr>
            <w:tcW w:w="1757" w:type="pct"/>
            <w:tcBorders>
              <w:top w:val="nil"/>
              <w:left w:val="double" w:sz="6" w:space="0" w:color="1F497D"/>
              <w:bottom w:val="double" w:sz="6" w:space="0" w:color="1F497D"/>
              <w:right w:val="double" w:sz="6" w:space="0" w:color="1F497D"/>
            </w:tcBorders>
            <w:shd w:val="clear" w:color="auto" w:fill="auto"/>
            <w:vAlign w:val="center"/>
            <w:hideMark/>
          </w:tcPr>
          <w:p w14:paraId="0A1B3DB9" w14:textId="77777777" w:rsidR="007D0663" w:rsidRPr="00EB031E" w:rsidRDefault="007D0663" w:rsidP="007D0663">
            <w:pPr>
              <w:spacing w:after="0" w:line="240" w:lineRule="auto"/>
              <w:jc w:val="right"/>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 xml:space="preserve">Total </w:t>
            </w:r>
          </w:p>
        </w:tc>
        <w:tc>
          <w:tcPr>
            <w:tcW w:w="405" w:type="pct"/>
            <w:tcBorders>
              <w:top w:val="nil"/>
              <w:left w:val="nil"/>
              <w:bottom w:val="double" w:sz="6" w:space="0" w:color="1F497D"/>
              <w:right w:val="double" w:sz="6" w:space="0" w:color="1F497D"/>
            </w:tcBorders>
            <w:shd w:val="clear" w:color="auto" w:fill="auto"/>
            <w:vAlign w:val="center"/>
            <w:hideMark/>
          </w:tcPr>
          <w:p w14:paraId="521B89C5" w14:textId="77777777" w:rsidR="007D0663" w:rsidRPr="00EB031E" w:rsidRDefault="007D0663" w:rsidP="007D066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1436</w:t>
            </w:r>
          </w:p>
        </w:tc>
        <w:tc>
          <w:tcPr>
            <w:tcW w:w="405" w:type="pct"/>
            <w:tcBorders>
              <w:top w:val="nil"/>
              <w:left w:val="nil"/>
              <w:bottom w:val="double" w:sz="6" w:space="0" w:color="1F497D"/>
              <w:right w:val="double" w:sz="6" w:space="0" w:color="1F497D"/>
            </w:tcBorders>
            <w:shd w:val="clear" w:color="auto" w:fill="auto"/>
            <w:vAlign w:val="center"/>
            <w:hideMark/>
          </w:tcPr>
          <w:p w14:paraId="058120D0" w14:textId="77777777" w:rsidR="007D0663" w:rsidRPr="00EB031E" w:rsidRDefault="007D0663" w:rsidP="007D066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3714</w:t>
            </w:r>
          </w:p>
        </w:tc>
        <w:tc>
          <w:tcPr>
            <w:tcW w:w="405" w:type="pct"/>
            <w:tcBorders>
              <w:top w:val="nil"/>
              <w:left w:val="nil"/>
              <w:bottom w:val="double" w:sz="6" w:space="0" w:color="1F497D"/>
              <w:right w:val="double" w:sz="6" w:space="0" w:color="1F497D"/>
            </w:tcBorders>
            <w:shd w:val="clear" w:color="auto" w:fill="auto"/>
            <w:vAlign w:val="center"/>
            <w:hideMark/>
          </w:tcPr>
          <w:p w14:paraId="45D481A9" w14:textId="77777777" w:rsidR="007D0663" w:rsidRPr="00EB031E" w:rsidRDefault="007D0663" w:rsidP="007D066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1219</w:t>
            </w:r>
          </w:p>
        </w:tc>
        <w:tc>
          <w:tcPr>
            <w:tcW w:w="405" w:type="pct"/>
            <w:tcBorders>
              <w:top w:val="nil"/>
              <w:left w:val="nil"/>
              <w:bottom w:val="double" w:sz="6" w:space="0" w:color="1F497D"/>
              <w:right w:val="double" w:sz="6" w:space="0" w:color="1F497D"/>
            </w:tcBorders>
            <w:shd w:val="clear" w:color="auto" w:fill="auto"/>
            <w:vAlign w:val="center"/>
            <w:hideMark/>
          </w:tcPr>
          <w:p w14:paraId="047F0FC8" w14:textId="77777777" w:rsidR="007D0663" w:rsidRPr="00EB031E" w:rsidRDefault="007D0663" w:rsidP="007D066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1594</w:t>
            </w:r>
          </w:p>
        </w:tc>
        <w:tc>
          <w:tcPr>
            <w:tcW w:w="405" w:type="pct"/>
            <w:tcBorders>
              <w:top w:val="nil"/>
              <w:left w:val="nil"/>
              <w:bottom w:val="double" w:sz="6" w:space="0" w:color="1F497D"/>
              <w:right w:val="double" w:sz="6" w:space="0" w:color="1F497D"/>
            </w:tcBorders>
            <w:shd w:val="clear" w:color="auto" w:fill="auto"/>
            <w:vAlign w:val="center"/>
            <w:hideMark/>
          </w:tcPr>
          <w:p w14:paraId="198D27E7" w14:textId="77777777" w:rsidR="007D0663" w:rsidRPr="00EB031E" w:rsidRDefault="007D0663" w:rsidP="007D066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1006</w:t>
            </w:r>
          </w:p>
        </w:tc>
        <w:tc>
          <w:tcPr>
            <w:tcW w:w="405" w:type="pct"/>
            <w:tcBorders>
              <w:top w:val="nil"/>
              <w:left w:val="nil"/>
              <w:bottom w:val="double" w:sz="6" w:space="0" w:color="1F497D"/>
              <w:right w:val="double" w:sz="6" w:space="0" w:color="1F497D"/>
            </w:tcBorders>
            <w:shd w:val="clear" w:color="auto" w:fill="auto"/>
            <w:vAlign w:val="center"/>
            <w:hideMark/>
          </w:tcPr>
          <w:p w14:paraId="57407DE4" w14:textId="77777777" w:rsidR="007D0663" w:rsidRPr="00EB031E" w:rsidRDefault="007D0663" w:rsidP="007D066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982</w:t>
            </w:r>
          </w:p>
        </w:tc>
        <w:tc>
          <w:tcPr>
            <w:tcW w:w="405" w:type="pct"/>
            <w:tcBorders>
              <w:top w:val="nil"/>
              <w:left w:val="nil"/>
              <w:bottom w:val="double" w:sz="6" w:space="0" w:color="1F497D"/>
              <w:right w:val="double" w:sz="6" w:space="0" w:color="1F497D"/>
            </w:tcBorders>
            <w:shd w:val="clear" w:color="auto" w:fill="auto"/>
            <w:vAlign w:val="center"/>
            <w:hideMark/>
          </w:tcPr>
          <w:p w14:paraId="602A7DC6" w14:textId="77777777" w:rsidR="007D0663" w:rsidRPr="00EB031E" w:rsidRDefault="007D0663" w:rsidP="007D066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999</w:t>
            </w:r>
          </w:p>
        </w:tc>
        <w:tc>
          <w:tcPr>
            <w:tcW w:w="405" w:type="pct"/>
            <w:tcBorders>
              <w:top w:val="nil"/>
              <w:left w:val="nil"/>
              <w:bottom w:val="double" w:sz="6" w:space="0" w:color="1F497D"/>
              <w:right w:val="double" w:sz="6" w:space="0" w:color="1F497D"/>
            </w:tcBorders>
            <w:shd w:val="clear" w:color="auto" w:fill="auto"/>
            <w:vAlign w:val="center"/>
            <w:hideMark/>
          </w:tcPr>
          <w:p w14:paraId="59280EFD" w14:textId="77777777" w:rsidR="007D0663" w:rsidRPr="00EB031E" w:rsidRDefault="007D0663" w:rsidP="007D0663">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10950</w:t>
            </w:r>
          </w:p>
        </w:tc>
      </w:tr>
    </w:tbl>
    <w:p w14:paraId="7CFABA37" w14:textId="43FCF621" w:rsidR="00830C92" w:rsidRDefault="003A67DE" w:rsidP="00EB031E">
      <w:pPr>
        <w:jc w:val="both"/>
        <w:rPr>
          <w:rFonts w:ascii="Book Antiqua" w:hAnsi="Book Antiqua"/>
        </w:rPr>
      </w:pPr>
      <w:r w:rsidRPr="00410ED4">
        <w:rPr>
          <w:rFonts w:ascii="Book Antiqua" w:hAnsi="Book Antiqua"/>
          <w:b/>
          <w:i/>
          <w:sz w:val="20"/>
        </w:rPr>
        <w:t xml:space="preserve">Fuente: </w:t>
      </w:r>
      <w:r w:rsidR="000A54B4" w:rsidRPr="006602D9">
        <w:rPr>
          <w:rFonts w:ascii="Book Antiqua" w:hAnsi="Book Antiqua"/>
          <w:bCs/>
          <w:i/>
          <w:sz w:val="20"/>
        </w:rPr>
        <w:t>Anuario Estadístico Judicial 2018, 2019, 2020, los datos del primer semestre del 2021 son datos obtenidos de SIGMA.</w:t>
      </w:r>
    </w:p>
    <w:p w14:paraId="3BD585D2" w14:textId="51FEEF54" w:rsidR="00D74441" w:rsidRDefault="00446011" w:rsidP="0060505C">
      <w:pPr>
        <w:spacing w:line="276" w:lineRule="auto"/>
        <w:jc w:val="both"/>
        <w:rPr>
          <w:rFonts w:ascii="Book Antiqua" w:hAnsi="Book Antiqua"/>
        </w:rPr>
      </w:pPr>
      <w:r w:rsidRPr="00410ED4">
        <w:rPr>
          <w:rFonts w:ascii="Book Antiqua" w:hAnsi="Book Antiqua"/>
        </w:rPr>
        <w:t xml:space="preserve">De los </w:t>
      </w:r>
      <w:r w:rsidR="00260C19" w:rsidRPr="00410ED4">
        <w:rPr>
          <w:rFonts w:ascii="Book Antiqua" w:hAnsi="Book Antiqua"/>
        </w:rPr>
        <w:t>asuntos</w:t>
      </w:r>
      <w:r w:rsidRPr="00410ED4">
        <w:rPr>
          <w:rFonts w:ascii="Book Antiqua" w:hAnsi="Book Antiqua"/>
        </w:rPr>
        <w:t xml:space="preserve"> terminados en materia Civil, el </w:t>
      </w:r>
      <w:r w:rsidR="00AB42B9">
        <w:rPr>
          <w:rFonts w:ascii="Book Antiqua" w:hAnsi="Book Antiqua"/>
        </w:rPr>
        <w:t>40</w:t>
      </w:r>
      <w:r w:rsidRPr="00410ED4">
        <w:rPr>
          <w:rFonts w:ascii="Book Antiqua" w:hAnsi="Book Antiqua"/>
        </w:rPr>
        <w:t xml:space="preserve">% fueron finalizados por resoluciones Confirmatorias, el </w:t>
      </w:r>
      <w:r w:rsidR="00627490">
        <w:rPr>
          <w:rFonts w:ascii="Book Antiqua" w:hAnsi="Book Antiqua"/>
        </w:rPr>
        <w:t>19</w:t>
      </w:r>
      <w:r w:rsidRPr="00410ED4">
        <w:rPr>
          <w:rFonts w:ascii="Book Antiqua" w:hAnsi="Book Antiqua"/>
        </w:rPr>
        <w:t xml:space="preserve">% </w:t>
      </w:r>
      <w:r w:rsidR="00E61AA0" w:rsidRPr="00410ED4">
        <w:rPr>
          <w:rFonts w:ascii="Book Antiqua" w:hAnsi="Book Antiqua"/>
        </w:rPr>
        <w:t xml:space="preserve">fueron </w:t>
      </w:r>
      <w:r w:rsidR="00E61AA0">
        <w:rPr>
          <w:rFonts w:ascii="Book Antiqua" w:hAnsi="Book Antiqua"/>
        </w:rPr>
        <w:t>otros</w:t>
      </w:r>
      <w:r w:rsidR="00AD2353">
        <w:rPr>
          <w:rFonts w:ascii="Book Antiqua" w:hAnsi="Book Antiqua"/>
        </w:rPr>
        <w:t xml:space="preserve"> tipos de resolución, </w:t>
      </w:r>
      <w:r w:rsidR="00A4632C">
        <w:rPr>
          <w:rFonts w:ascii="Book Antiqua" w:hAnsi="Book Antiqua"/>
        </w:rPr>
        <w:t xml:space="preserve">las </w:t>
      </w:r>
      <w:r w:rsidRPr="00410ED4">
        <w:rPr>
          <w:rFonts w:ascii="Book Antiqua" w:hAnsi="Book Antiqua"/>
        </w:rPr>
        <w:t xml:space="preserve">Revocatorias </w:t>
      </w:r>
      <w:r w:rsidR="00A4632C">
        <w:rPr>
          <w:rFonts w:ascii="Book Antiqua" w:hAnsi="Book Antiqua"/>
        </w:rPr>
        <w:t>represen</w:t>
      </w:r>
      <w:r w:rsidR="00E61AA0">
        <w:rPr>
          <w:rFonts w:ascii="Book Antiqua" w:hAnsi="Book Antiqua"/>
        </w:rPr>
        <w:t xml:space="preserve">taron el </w:t>
      </w:r>
      <w:r w:rsidR="00627490">
        <w:rPr>
          <w:rFonts w:ascii="Book Antiqua" w:hAnsi="Book Antiqua"/>
        </w:rPr>
        <w:t>16</w:t>
      </w:r>
      <w:r w:rsidR="00E61AA0">
        <w:rPr>
          <w:rFonts w:ascii="Book Antiqua" w:hAnsi="Book Antiqua"/>
        </w:rPr>
        <w:t>% mientras q</w:t>
      </w:r>
      <w:r w:rsidR="00800563">
        <w:rPr>
          <w:rFonts w:ascii="Book Antiqua" w:hAnsi="Book Antiqua"/>
        </w:rPr>
        <w:t xml:space="preserve">ue las resoluciones </w:t>
      </w:r>
      <w:r w:rsidR="006A141D">
        <w:rPr>
          <w:rFonts w:ascii="Book Antiqua" w:hAnsi="Book Antiqua"/>
        </w:rPr>
        <w:t xml:space="preserve">desiertas o mal admitidas representaron </w:t>
      </w:r>
      <w:r w:rsidR="00627490">
        <w:rPr>
          <w:rFonts w:ascii="Book Antiqua" w:hAnsi="Book Antiqua"/>
        </w:rPr>
        <w:t>13</w:t>
      </w:r>
      <w:r w:rsidR="006A141D">
        <w:rPr>
          <w:rFonts w:ascii="Book Antiqua" w:hAnsi="Book Antiqua"/>
        </w:rPr>
        <w:t>%</w:t>
      </w:r>
      <w:r w:rsidRPr="00410ED4">
        <w:rPr>
          <w:rFonts w:ascii="Book Antiqua" w:hAnsi="Book Antiqua"/>
        </w:rPr>
        <w:t xml:space="preserve">, lo que hace ser estos </w:t>
      </w:r>
      <w:r w:rsidR="00D74441">
        <w:rPr>
          <w:rFonts w:ascii="Book Antiqua" w:hAnsi="Book Antiqua"/>
        </w:rPr>
        <w:t>cuatro</w:t>
      </w:r>
      <w:r w:rsidRPr="00410ED4">
        <w:rPr>
          <w:rFonts w:ascii="Book Antiqua" w:hAnsi="Book Antiqua"/>
        </w:rPr>
        <w:t xml:space="preserve"> tipos de resoluciones las más representativas en la finalización de casos en los Tribunales de Apelación Civil y Trabajo del país</w:t>
      </w:r>
      <w:r w:rsidR="00BD2212">
        <w:rPr>
          <w:rFonts w:ascii="Book Antiqua" w:hAnsi="Book Antiqua"/>
        </w:rPr>
        <w:t xml:space="preserve"> (Mixto)</w:t>
      </w:r>
      <w:r w:rsidRPr="00410ED4">
        <w:rPr>
          <w:rFonts w:ascii="Book Antiqua" w:hAnsi="Book Antiqua"/>
        </w:rPr>
        <w:t xml:space="preserve">. </w:t>
      </w:r>
      <w:r w:rsidR="007455F1">
        <w:rPr>
          <w:rFonts w:ascii="Book Antiqua" w:hAnsi="Book Antiqua"/>
        </w:rPr>
        <w:t xml:space="preserve">El Tribunal de Apelación Civil y </w:t>
      </w:r>
      <w:r w:rsidR="00881337">
        <w:rPr>
          <w:rFonts w:ascii="Book Antiqua" w:hAnsi="Book Antiqua"/>
        </w:rPr>
        <w:t xml:space="preserve">de Trabajo </w:t>
      </w:r>
      <w:r w:rsidR="0026561E">
        <w:rPr>
          <w:rFonts w:ascii="Book Antiqua" w:hAnsi="Book Antiqua"/>
        </w:rPr>
        <w:t>de Alajuela, corresponde a</w:t>
      </w:r>
      <w:r w:rsidR="00E45D5C">
        <w:rPr>
          <w:rFonts w:ascii="Book Antiqua" w:hAnsi="Book Antiqua"/>
        </w:rPr>
        <w:t xml:space="preserve">l Despacho que tiene la mayor cantidad de asuntos terminados con </w:t>
      </w:r>
      <w:r w:rsidR="00892EA0">
        <w:rPr>
          <w:rFonts w:ascii="Book Antiqua" w:hAnsi="Book Antiqua"/>
        </w:rPr>
        <w:t>3714</w:t>
      </w:r>
      <w:r w:rsidR="00036033">
        <w:rPr>
          <w:rFonts w:ascii="Book Antiqua" w:hAnsi="Book Antiqua"/>
        </w:rPr>
        <w:t xml:space="preserve">, de los cuales el más </w:t>
      </w:r>
      <w:r w:rsidR="00043FC0">
        <w:rPr>
          <w:rFonts w:ascii="Book Antiqua" w:hAnsi="Book Antiqua"/>
        </w:rPr>
        <w:t xml:space="preserve">representativo es Otro tipo de Resolución con </w:t>
      </w:r>
      <w:r w:rsidR="004C233C">
        <w:rPr>
          <w:rFonts w:ascii="Book Antiqua" w:hAnsi="Book Antiqua"/>
        </w:rPr>
        <w:t>1352</w:t>
      </w:r>
      <w:r w:rsidR="00443276">
        <w:rPr>
          <w:rFonts w:ascii="Book Antiqua" w:hAnsi="Book Antiqua"/>
        </w:rPr>
        <w:t xml:space="preserve">. </w:t>
      </w:r>
    </w:p>
    <w:p w14:paraId="2DBD61BF" w14:textId="77777777" w:rsidR="008C7BD3" w:rsidRDefault="008C7BD3" w:rsidP="0060505C">
      <w:pPr>
        <w:spacing w:line="276" w:lineRule="auto"/>
        <w:jc w:val="both"/>
        <w:rPr>
          <w:rFonts w:ascii="Book Antiqua" w:hAnsi="Book Antiqua"/>
        </w:rPr>
      </w:pPr>
    </w:p>
    <w:p w14:paraId="207CB9DC" w14:textId="04B4A758" w:rsidR="00B15E71" w:rsidRPr="001F70F9" w:rsidRDefault="00B15E71" w:rsidP="009C259C">
      <w:pPr>
        <w:pStyle w:val="Ttulo4"/>
        <w:numPr>
          <w:ilvl w:val="2"/>
          <w:numId w:val="1"/>
        </w:numPr>
        <w:rPr>
          <w:rFonts w:ascii="Book Antiqua" w:hAnsi="Book Antiqua"/>
          <w:b/>
          <w:bCs/>
          <w:color w:val="auto"/>
          <w:sz w:val="24"/>
          <w:szCs w:val="24"/>
          <w:u w:val="single"/>
        </w:rPr>
      </w:pPr>
      <w:r w:rsidRPr="00463182">
        <w:rPr>
          <w:rFonts w:ascii="Book Antiqua" w:hAnsi="Book Antiqua"/>
          <w:b/>
          <w:bCs/>
          <w:i w:val="0"/>
          <w:iCs w:val="0"/>
          <w:color w:val="auto"/>
          <w:sz w:val="24"/>
          <w:szCs w:val="24"/>
          <w:u w:val="single"/>
        </w:rPr>
        <w:t xml:space="preserve">Asuntos terminados materia </w:t>
      </w:r>
      <w:r w:rsidR="00881337" w:rsidRPr="00463182">
        <w:rPr>
          <w:rFonts w:ascii="Book Antiqua" w:hAnsi="Book Antiqua"/>
          <w:b/>
          <w:bCs/>
          <w:i w:val="0"/>
          <w:iCs w:val="0"/>
          <w:color w:val="auto"/>
          <w:sz w:val="24"/>
          <w:szCs w:val="24"/>
          <w:u w:val="single"/>
        </w:rPr>
        <w:t xml:space="preserve">de Trabajo </w:t>
      </w:r>
    </w:p>
    <w:p w14:paraId="477A8C8F" w14:textId="77777777" w:rsidR="00B15E71" w:rsidRPr="002872F2" w:rsidRDefault="00B15E71" w:rsidP="002872F2"/>
    <w:p w14:paraId="2343FA97" w14:textId="006042EE" w:rsidR="00446011" w:rsidRPr="00410ED4" w:rsidRDefault="00446011" w:rsidP="0060505C">
      <w:pPr>
        <w:spacing w:line="276" w:lineRule="auto"/>
        <w:jc w:val="both"/>
        <w:rPr>
          <w:rFonts w:ascii="Book Antiqua" w:hAnsi="Book Antiqua"/>
        </w:rPr>
      </w:pPr>
      <w:r w:rsidRPr="00B15E71">
        <w:rPr>
          <w:rFonts w:ascii="Book Antiqua" w:hAnsi="Book Antiqua"/>
        </w:rPr>
        <w:t>En materia de Trabajo, la cantidad de casos terminados según tipo de resolución se muestra en el siguiente cuadro.</w:t>
      </w:r>
      <w:r w:rsidRPr="00410ED4">
        <w:rPr>
          <w:rFonts w:ascii="Book Antiqua" w:hAnsi="Book Antiqua"/>
        </w:rPr>
        <w:t xml:space="preserve"> </w:t>
      </w:r>
    </w:p>
    <w:p w14:paraId="704815EA" w14:textId="0F57674D" w:rsidR="00DB3347" w:rsidRPr="00410ED4" w:rsidRDefault="00DB3347" w:rsidP="00DB3347">
      <w:pPr>
        <w:keepNext/>
        <w:widowControl w:val="0"/>
        <w:autoSpaceDE w:val="0"/>
        <w:autoSpaceDN w:val="0"/>
        <w:adjustRightInd w:val="0"/>
        <w:spacing w:after="0" w:line="240" w:lineRule="auto"/>
        <w:jc w:val="center"/>
        <w:rPr>
          <w:rFonts w:ascii="Book Antiqua" w:eastAsia="Times New Roman" w:hAnsi="Book Antiqua" w:cs="Arial"/>
          <w:b/>
          <w:bCs/>
          <w:color w:val="1F497D" w:themeColor="text2"/>
          <w:lang w:eastAsia="es-ES"/>
        </w:rPr>
      </w:pPr>
      <w:r w:rsidRPr="00410ED4">
        <w:rPr>
          <w:rFonts w:ascii="Book Antiqua" w:eastAsia="Times New Roman" w:hAnsi="Book Antiqua" w:cs="Arial"/>
          <w:b/>
          <w:bCs/>
          <w:color w:val="1F497D" w:themeColor="text2"/>
          <w:lang w:eastAsia="es-ES"/>
        </w:rPr>
        <w:t xml:space="preserve">Cuadro </w:t>
      </w:r>
      <w:r w:rsidRPr="00410ED4">
        <w:rPr>
          <w:rFonts w:ascii="Book Antiqua" w:eastAsia="Times New Roman" w:hAnsi="Book Antiqua" w:cs="Arial"/>
          <w:b/>
          <w:bCs/>
          <w:color w:val="1F497D" w:themeColor="text2"/>
          <w:lang w:eastAsia="es-ES"/>
        </w:rPr>
        <w:fldChar w:fldCharType="begin"/>
      </w:r>
      <w:r w:rsidRPr="00410ED4">
        <w:rPr>
          <w:rFonts w:ascii="Book Antiqua" w:eastAsia="Times New Roman" w:hAnsi="Book Antiqua" w:cs="Arial"/>
          <w:b/>
          <w:bCs/>
          <w:color w:val="1F497D" w:themeColor="text2"/>
          <w:lang w:eastAsia="es-ES"/>
        </w:rPr>
        <w:instrText xml:space="preserve"> SEQ Cuadro \* ARABIC </w:instrText>
      </w:r>
      <w:r w:rsidRPr="00410ED4">
        <w:rPr>
          <w:rFonts w:ascii="Book Antiqua" w:eastAsia="Times New Roman" w:hAnsi="Book Antiqua" w:cs="Arial"/>
          <w:b/>
          <w:bCs/>
          <w:color w:val="1F497D" w:themeColor="text2"/>
          <w:lang w:eastAsia="es-ES"/>
        </w:rPr>
        <w:fldChar w:fldCharType="separate"/>
      </w:r>
      <w:r>
        <w:rPr>
          <w:rFonts w:ascii="Book Antiqua" w:eastAsia="Times New Roman" w:hAnsi="Book Antiqua" w:cs="Arial"/>
          <w:b/>
          <w:bCs/>
          <w:noProof/>
          <w:color w:val="1F497D" w:themeColor="text2"/>
          <w:lang w:eastAsia="es-ES"/>
        </w:rPr>
        <w:t>7</w:t>
      </w:r>
      <w:r w:rsidRPr="00410ED4">
        <w:rPr>
          <w:rFonts w:ascii="Book Antiqua" w:eastAsia="Times New Roman" w:hAnsi="Book Antiqua" w:cs="Arial"/>
          <w:b/>
          <w:bCs/>
          <w:color w:val="1F497D" w:themeColor="text2"/>
          <w:lang w:eastAsia="es-ES"/>
        </w:rPr>
        <w:fldChar w:fldCharType="end"/>
      </w:r>
    </w:p>
    <w:p w14:paraId="31CDD27D" w14:textId="15C4E4AF" w:rsidR="00446011" w:rsidRPr="00410ED4" w:rsidRDefault="00446011" w:rsidP="00DB3347">
      <w:pPr>
        <w:keepNext/>
        <w:widowControl w:val="0"/>
        <w:autoSpaceDE w:val="0"/>
        <w:autoSpaceDN w:val="0"/>
        <w:adjustRightInd w:val="0"/>
        <w:spacing w:after="0" w:line="240" w:lineRule="auto"/>
        <w:jc w:val="center"/>
        <w:rPr>
          <w:rFonts w:ascii="Book Antiqua" w:eastAsia="Times New Roman" w:hAnsi="Book Antiqua" w:cs="Arial"/>
          <w:b/>
          <w:bCs/>
          <w:color w:val="1F497D" w:themeColor="text2"/>
          <w:lang w:eastAsia="es-ES"/>
        </w:rPr>
      </w:pPr>
      <w:r w:rsidRPr="00410ED4">
        <w:rPr>
          <w:rFonts w:ascii="Book Antiqua" w:eastAsia="Times New Roman" w:hAnsi="Book Antiqua" w:cs="Arial"/>
          <w:b/>
          <w:bCs/>
          <w:color w:val="1F497D" w:themeColor="text2"/>
          <w:lang w:eastAsia="es-ES"/>
        </w:rPr>
        <w:t xml:space="preserve">Casos terminados por Tipo de Resolución </w:t>
      </w:r>
      <w:r w:rsidR="00914171">
        <w:rPr>
          <w:rFonts w:ascii="Book Antiqua" w:eastAsia="Times New Roman" w:hAnsi="Book Antiqua" w:cs="Arial"/>
          <w:b/>
          <w:bCs/>
          <w:color w:val="1F497D" w:themeColor="text2"/>
          <w:lang w:eastAsia="es-ES"/>
        </w:rPr>
        <w:t xml:space="preserve">en materia Trabajo en </w:t>
      </w:r>
      <w:r w:rsidRPr="00410ED4">
        <w:rPr>
          <w:rFonts w:ascii="Book Antiqua" w:eastAsia="Times New Roman" w:hAnsi="Book Antiqua" w:cs="Arial"/>
          <w:b/>
          <w:bCs/>
          <w:color w:val="1F497D" w:themeColor="text2"/>
          <w:lang w:eastAsia="es-ES"/>
        </w:rPr>
        <w:t xml:space="preserve">los Tribunales de Apelación Civil y Trabajo </w:t>
      </w:r>
      <w:r w:rsidR="00BD2212">
        <w:rPr>
          <w:rFonts w:ascii="Book Antiqua" w:eastAsia="Times New Roman" w:hAnsi="Book Antiqua" w:cs="Arial"/>
          <w:b/>
          <w:bCs/>
          <w:color w:val="1F497D" w:themeColor="text2"/>
          <w:lang w:eastAsia="es-ES"/>
        </w:rPr>
        <w:t>(Mixto)</w:t>
      </w:r>
    </w:p>
    <w:p w14:paraId="4010C446" w14:textId="3C30417B" w:rsidR="00446011" w:rsidRPr="00410ED4" w:rsidRDefault="00446011" w:rsidP="00DB3347">
      <w:pPr>
        <w:keepNext/>
        <w:widowControl w:val="0"/>
        <w:autoSpaceDE w:val="0"/>
        <w:autoSpaceDN w:val="0"/>
        <w:adjustRightInd w:val="0"/>
        <w:spacing w:after="0" w:line="240" w:lineRule="auto"/>
        <w:jc w:val="center"/>
        <w:rPr>
          <w:rFonts w:ascii="Book Antiqua" w:eastAsia="Times New Roman" w:hAnsi="Book Antiqua" w:cs="Arial"/>
          <w:b/>
          <w:bCs/>
          <w:color w:val="1F497D" w:themeColor="text2"/>
          <w:lang w:eastAsia="es-ES"/>
        </w:rPr>
      </w:pPr>
      <w:r w:rsidRPr="00410ED4">
        <w:rPr>
          <w:rFonts w:ascii="Book Antiqua" w:eastAsia="Times New Roman" w:hAnsi="Book Antiqua" w:cs="Arial"/>
          <w:b/>
          <w:bCs/>
          <w:color w:val="1F497D" w:themeColor="text2"/>
          <w:lang w:eastAsia="es-ES"/>
        </w:rPr>
        <w:t>Periodo 2018</w:t>
      </w:r>
      <w:r w:rsidR="002B6F44">
        <w:rPr>
          <w:rFonts w:ascii="Book Antiqua" w:eastAsia="Times New Roman" w:hAnsi="Book Antiqua" w:cs="Arial"/>
          <w:b/>
          <w:bCs/>
          <w:color w:val="1F497D" w:themeColor="text2"/>
          <w:lang w:eastAsia="es-ES"/>
        </w:rPr>
        <w:t xml:space="preserve">, </w:t>
      </w:r>
      <w:r w:rsidR="00B15E71">
        <w:rPr>
          <w:rFonts w:ascii="Book Antiqua" w:eastAsia="Times New Roman" w:hAnsi="Book Antiqua" w:cs="Arial"/>
          <w:b/>
          <w:bCs/>
          <w:color w:val="1F497D" w:themeColor="text2"/>
          <w:lang w:eastAsia="es-ES"/>
        </w:rPr>
        <w:t>2019</w:t>
      </w:r>
      <w:r w:rsidR="002B6F44">
        <w:rPr>
          <w:rFonts w:ascii="Book Antiqua" w:eastAsia="Times New Roman" w:hAnsi="Book Antiqua" w:cs="Arial"/>
          <w:b/>
          <w:bCs/>
          <w:color w:val="1F497D" w:themeColor="text2"/>
          <w:lang w:eastAsia="es-ES"/>
        </w:rPr>
        <w:t>, 2020 y primer semestre 2021</w:t>
      </w:r>
      <w:r w:rsidR="00B15E71">
        <w:rPr>
          <w:rFonts w:ascii="Book Antiqua" w:eastAsia="Times New Roman" w:hAnsi="Book Antiqua" w:cs="Arial"/>
          <w:b/>
          <w:bCs/>
          <w:color w:val="1F497D" w:themeColor="text2"/>
          <w:lang w:eastAsia="es-ES"/>
        </w:rPr>
        <w:t xml:space="preserve"> </w:t>
      </w:r>
    </w:p>
    <w:tbl>
      <w:tblPr>
        <w:tblW w:w="0" w:type="auto"/>
        <w:tblCellMar>
          <w:left w:w="70" w:type="dxa"/>
          <w:right w:w="70" w:type="dxa"/>
        </w:tblCellMar>
        <w:tblLook w:val="04A0" w:firstRow="1" w:lastRow="0" w:firstColumn="1" w:lastColumn="0" w:noHBand="0" w:noVBand="1"/>
      </w:tblPr>
      <w:tblGrid>
        <w:gridCol w:w="1802"/>
        <w:gridCol w:w="984"/>
        <w:gridCol w:w="840"/>
        <w:gridCol w:w="781"/>
        <w:gridCol w:w="800"/>
        <w:gridCol w:w="1090"/>
        <w:gridCol w:w="1060"/>
        <w:gridCol w:w="680"/>
        <w:gridCol w:w="781"/>
      </w:tblGrid>
      <w:tr w:rsidR="005818F7" w:rsidRPr="005818F7" w14:paraId="415CDC80" w14:textId="77777777" w:rsidTr="00EB031E">
        <w:trPr>
          <w:trHeight w:val="300"/>
        </w:trPr>
        <w:tc>
          <w:tcPr>
            <w:tcW w:w="0" w:type="auto"/>
            <w:vMerge w:val="restart"/>
            <w:tcBorders>
              <w:top w:val="single" w:sz="8" w:space="0" w:color="auto"/>
              <w:left w:val="single" w:sz="8" w:space="0" w:color="auto"/>
              <w:bottom w:val="double" w:sz="6" w:space="0" w:color="1F497D"/>
              <w:right w:val="double" w:sz="6" w:space="0" w:color="1F497D"/>
            </w:tcBorders>
            <w:shd w:val="clear" w:color="000000" w:fill="1F497D"/>
            <w:vAlign w:val="center"/>
            <w:hideMark/>
          </w:tcPr>
          <w:p w14:paraId="2F78E6D5" w14:textId="77777777" w:rsidR="005818F7" w:rsidRPr="00EB031E" w:rsidRDefault="005818F7" w:rsidP="005818F7">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 xml:space="preserve">Tipo de resolución dictada </w:t>
            </w:r>
          </w:p>
        </w:tc>
        <w:tc>
          <w:tcPr>
            <w:tcW w:w="0" w:type="auto"/>
            <w:gridSpan w:val="8"/>
            <w:tcBorders>
              <w:top w:val="single" w:sz="8" w:space="0" w:color="auto"/>
              <w:left w:val="nil"/>
              <w:bottom w:val="nil"/>
              <w:right w:val="single" w:sz="8" w:space="0" w:color="000000"/>
            </w:tcBorders>
            <w:shd w:val="clear" w:color="000000" w:fill="D9D9D9"/>
            <w:vAlign w:val="center"/>
            <w:hideMark/>
          </w:tcPr>
          <w:p w14:paraId="4C3C5384" w14:textId="77777777" w:rsidR="005818F7" w:rsidRPr="00EB031E" w:rsidRDefault="005818F7" w:rsidP="005818F7">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Tribunal de Apelación Laboral, periodo 2018,2019,2020 y I Semestre 2021</w:t>
            </w:r>
          </w:p>
        </w:tc>
      </w:tr>
      <w:tr w:rsidR="005818F7" w:rsidRPr="005818F7" w14:paraId="6DEA9688" w14:textId="77777777" w:rsidTr="005818F7">
        <w:trPr>
          <w:trHeight w:val="490"/>
        </w:trPr>
        <w:tc>
          <w:tcPr>
            <w:tcW w:w="0" w:type="auto"/>
            <w:vMerge/>
            <w:tcBorders>
              <w:top w:val="single" w:sz="8" w:space="0" w:color="auto"/>
              <w:left w:val="single" w:sz="8" w:space="0" w:color="auto"/>
              <w:bottom w:val="double" w:sz="6" w:space="0" w:color="1F497D"/>
              <w:right w:val="double" w:sz="6" w:space="0" w:color="1F497D"/>
            </w:tcBorders>
            <w:vAlign w:val="center"/>
            <w:hideMark/>
          </w:tcPr>
          <w:p w14:paraId="2283E368" w14:textId="77777777" w:rsidR="005818F7" w:rsidRPr="00EB031E" w:rsidRDefault="005818F7" w:rsidP="005818F7">
            <w:pPr>
              <w:spacing w:after="0" w:line="240" w:lineRule="auto"/>
              <w:rPr>
                <w:rFonts w:ascii="Book Antiqua" w:eastAsia="Times New Roman" w:hAnsi="Book Antiqua" w:cs="Calibri"/>
                <w:b/>
                <w:bCs/>
                <w:color w:val="FFFFFF"/>
                <w:sz w:val="18"/>
                <w:szCs w:val="18"/>
                <w:lang w:eastAsia="es-CR"/>
              </w:rPr>
            </w:pPr>
          </w:p>
        </w:tc>
        <w:tc>
          <w:tcPr>
            <w:tcW w:w="0" w:type="auto"/>
            <w:tcBorders>
              <w:top w:val="single" w:sz="8" w:space="0" w:color="auto"/>
              <w:left w:val="nil"/>
              <w:bottom w:val="single" w:sz="8" w:space="0" w:color="auto"/>
              <w:right w:val="single" w:sz="8" w:space="0" w:color="auto"/>
            </w:tcBorders>
            <w:shd w:val="clear" w:color="000000" w:fill="1F497D"/>
            <w:vAlign w:val="center"/>
            <w:hideMark/>
          </w:tcPr>
          <w:p w14:paraId="38B7DC81" w14:textId="77777777" w:rsidR="005818F7" w:rsidRPr="0053269D" w:rsidRDefault="005818F7" w:rsidP="005818F7">
            <w:pPr>
              <w:spacing w:after="0" w:line="240" w:lineRule="auto"/>
              <w:jc w:val="center"/>
              <w:rPr>
                <w:rFonts w:ascii="Book Antiqua" w:eastAsia="Times New Roman" w:hAnsi="Book Antiqua" w:cs="Calibri"/>
                <w:b/>
                <w:bCs/>
                <w:color w:val="FFFFFF"/>
                <w:sz w:val="18"/>
                <w:szCs w:val="18"/>
                <w:lang w:eastAsia="es-CR"/>
              </w:rPr>
            </w:pPr>
            <w:r w:rsidRPr="005818F7">
              <w:rPr>
                <w:rFonts w:ascii="Book Antiqua" w:eastAsia="Times New Roman" w:hAnsi="Book Antiqua" w:cs="Calibri"/>
                <w:b/>
                <w:bCs/>
                <w:color w:val="FFFFFF"/>
                <w:sz w:val="18"/>
                <w:szCs w:val="18"/>
                <w:lang w:eastAsia="es-CR"/>
              </w:rPr>
              <w:t xml:space="preserve">Pérez Zeledón </w:t>
            </w:r>
          </w:p>
        </w:tc>
        <w:tc>
          <w:tcPr>
            <w:tcW w:w="0" w:type="auto"/>
            <w:tcBorders>
              <w:top w:val="nil"/>
              <w:left w:val="nil"/>
              <w:bottom w:val="single" w:sz="8" w:space="0" w:color="auto"/>
              <w:right w:val="single" w:sz="8" w:space="0" w:color="auto"/>
            </w:tcBorders>
            <w:shd w:val="clear" w:color="000000" w:fill="1F497D"/>
            <w:vAlign w:val="center"/>
            <w:hideMark/>
          </w:tcPr>
          <w:p w14:paraId="009324E6" w14:textId="77777777" w:rsidR="005818F7" w:rsidRPr="005B723F" w:rsidRDefault="005818F7" w:rsidP="005818F7">
            <w:pPr>
              <w:spacing w:after="0" w:line="240" w:lineRule="auto"/>
              <w:jc w:val="center"/>
              <w:rPr>
                <w:rFonts w:ascii="Book Antiqua" w:eastAsia="Times New Roman" w:hAnsi="Book Antiqua" w:cs="Calibri"/>
                <w:b/>
                <w:bCs/>
                <w:color w:val="FFFFFF"/>
                <w:sz w:val="18"/>
                <w:szCs w:val="18"/>
                <w:lang w:eastAsia="es-CR"/>
              </w:rPr>
            </w:pPr>
            <w:r w:rsidRPr="00EF1E24">
              <w:rPr>
                <w:rFonts w:ascii="Book Antiqua" w:eastAsia="Times New Roman" w:hAnsi="Book Antiqua" w:cs="Calibri"/>
                <w:b/>
                <w:bCs/>
                <w:color w:val="FFFFFF"/>
                <w:sz w:val="18"/>
                <w:szCs w:val="18"/>
                <w:lang w:eastAsia="es-CR"/>
              </w:rPr>
              <w:t>Alajuela</w:t>
            </w:r>
          </w:p>
        </w:tc>
        <w:tc>
          <w:tcPr>
            <w:tcW w:w="0" w:type="auto"/>
            <w:tcBorders>
              <w:top w:val="nil"/>
              <w:left w:val="nil"/>
              <w:bottom w:val="single" w:sz="8" w:space="0" w:color="auto"/>
              <w:right w:val="nil"/>
            </w:tcBorders>
            <w:shd w:val="clear" w:color="000000" w:fill="1F497D"/>
            <w:vAlign w:val="center"/>
            <w:hideMark/>
          </w:tcPr>
          <w:p w14:paraId="27FB2B7A" w14:textId="77777777" w:rsidR="005818F7" w:rsidRPr="005818F7" w:rsidRDefault="005818F7" w:rsidP="005818F7">
            <w:pPr>
              <w:spacing w:after="0" w:line="240" w:lineRule="auto"/>
              <w:jc w:val="center"/>
              <w:rPr>
                <w:rFonts w:ascii="Book Antiqua" w:eastAsia="Times New Roman" w:hAnsi="Book Antiqua" w:cs="Calibri"/>
                <w:b/>
                <w:bCs/>
                <w:color w:val="FFFFFF"/>
                <w:sz w:val="18"/>
                <w:szCs w:val="18"/>
                <w:lang w:eastAsia="es-CR"/>
              </w:rPr>
            </w:pPr>
            <w:r w:rsidRPr="005818F7">
              <w:rPr>
                <w:rFonts w:ascii="Book Antiqua" w:eastAsia="Times New Roman" w:hAnsi="Book Antiqua" w:cs="Calibri"/>
                <w:b/>
                <w:bCs/>
                <w:color w:val="FFFFFF"/>
                <w:sz w:val="18"/>
                <w:szCs w:val="18"/>
                <w:lang w:eastAsia="es-CR"/>
              </w:rPr>
              <w:t>Cartago</w:t>
            </w:r>
          </w:p>
        </w:tc>
        <w:tc>
          <w:tcPr>
            <w:tcW w:w="0" w:type="auto"/>
            <w:tcBorders>
              <w:top w:val="nil"/>
              <w:left w:val="single" w:sz="8" w:space="0" w:color="auto"/>
              <w:bottom w:val="single" w:sz="8" w:space="0" w:color="auto"/>
              <w:right w:val="single" w:sz="8" w:space="0" w:color="auto"/>
            </w:tcBorders>
            <w:shd w:val="clear" w:color="000000" w:fill="1F497D"/>
            <w:vAlign w:val="center"/>
            <w:hideMark/>
          </w:tcPr>
          <w:p w14:paraId="69BFA955" w14:textId="77777777" w:rsidR="005818F7" w:rsidRPr="005818F7" w:rsidRDefault="005818F7" w:rsidP="005818F7">
            <w:pPr>
              <w:spacing w:after="0" w:line="240" w:lineRule="auto"/>
              <w:jc w:val="center"/>
              <w:rPr>
                <w:rFonts w:ascii="Book Antiqua" w:eastAsia="Times New Roman" w:hAnsi="Book Antiqua" w:cs="Calibri"/>
                <w:b/>
                <w:bCs/>
                <w:color w:val="FFFFFF"/>
                <w:sz w:val="18"/>
                <w:szCs w:val="18"/>
                <w:lang w:eastAsia="es-CR"/>
              </w:rPr>
            </w:pPr>
            <w:r w:rsidRPr="005818F7">
              <w:rPr>
                <w:rFonts w:ascii="Book Antiqua" w:eastAsia="Times New Roman" w:hAnsi="Book Antiqua" w:cs="Calibri"/>
                <w:b/>
                <w:bCs/>
                <w:color w:val="FFFFFF"/>
                <w:sz w:val="18"/>
                <w:szCs w:val="18"/>
                <w:lang w:eastAsia="es-CR"/>
              </w:rPr>
              <w:t>Heredia</w:t>
            </w:r>
          </w:p>
        </w:tc>
        <w:tc>
          <w:tcPr>
            <w:tcW w:w="0" w:type="auto"/>
            <w:tcBorders>
              <w:top w:val="nil"/>
              <w:left w:val="nil"/>
              <w:bottom w:val="single" w:sz="8" w:space="0" w:color="auto"/>
              <w:right w:val="single" w:sz="8" w:space="0" w:color="auto"/>
            </w:tcBorders>
            <w:shd w:val="clear" w:color="000000" w:fill="1F497D"/>
            <w:vAlign w:val="center"/>
            <w:hideMark/>
          </w:tcPr>
          <w:p w14:paraId="78D00831" w14:textId="77777777" w:rsidR="005818F7" w:rsidRPr="005818F7" w:rsidRDefault="005818F7" w:rsidP="005818F7">
            <w:pPr>
              <w:spacing w:after="0" w:line="240" w:lineRule="auto"/>
              <w:jc w:val="center"/>
              <w:rPr>
                <w:rFonts w:ascii="Book Antiqua" w:eastAsia="Times New Roman" w:hAnsi="Book Antiqua" w:cs="Calibri"/>
                <w:b/>
                <w:bCs/>
                <w:color w:val="FFFFFF"/>
                <w:sz w:val="18"/>
                <w:szCs w:val="18"/>
                <w:lang w:eastAsia="es-CR"/>
              </w:rPr>
            </w:pPr>
            <w:r w:rsidRPr="005818F7">
              <w:rPr>
                <w:rFonts w:ascii="Book Antiqua" w:eastAsia="Times New Roman" w:hAnsi="Book Antiqua" w:cs="Calibri"/>
                <w:b/>
                <w:bCs/>
                <w:color w:val="FFFFFF"/>
                <w:sz w:val="18"/>
                <w:szCs w:val="18"/>
                <w:lang w:eastAsia="es-CR"/>
              </w:rPr>
              <w:t>Guanacaste</w:t>
            </w:r>
          </w:p>
        </w:tc>
        <w:tc>
          <w:tcPr>
            <w:tcW w:w="0" w:type="auto"/>
            <w:tcBorders>
              <w:top w:val="nil"/>
              <w:left w:val="nil"/>
              <w:bottom w:val="single" w:sz="8" w:space="0" w:color="auto"/>
              <w:right w:val="single" w:sz="8" w:space="0" w:color="auto"/>
            </w:tcBorders>
            <w:shd w:val="clear" w:color="000000" w:fill="1F497D"/>
            <w:vAlign w:val="center"/>
            <w:hideMark/>
          </w:tcPr>
          <w:p w14:paraId="5FD72DF2" w14:textId="77777777" w:rsidR="005818F7" w:rsidRPr="005818F7" w:rsidRDefault="005818F7" w:rsidP="005818F7">
            <w:pPr>
              <w:spacing w:after="0" w:line="240" w:lineRule="auto"/>
              <w:jc w:val="center"/>
              <w:rPr>
                <w:rFonts w:ascii="Book Antiqua" w:eastAsia="Times New Roman" w:hAnsi="Book Antiqua" w:cs="Calibri"/>
                <w:b/>
                <w:bCs/>
                <w:color w:val="FFFFFF"/>
                <w:sz w:val="18"/>
                <w:szCs w:val="18"/>
                <w:lang w:eastAsia="es-CR"/>
              </w:rPr>
            </w:pPr>
            <w:r w:rsidRPr="005818F7">
              <w:rPr>
                <w:rFonts w:ascii="Book Antiqua" w:eastAsia="Times New Roman" w:hAnsi="Book Antiqua" w:cs="Calibri"/>
                <w:b/>
                <w:bCs/>
                <w:color w:val="FFFFFF"/>
                <w:sz w:val="18"/>
                <w:szCs w:val="18"/>
                <w:lang w:eastAsia="es-CR"/>
              </w:rPr>
              <w:t>Puntarenas</w:t>
            </w:r>
          </w:p>
        </w:tc>
        <w:tc>
          <w:tcPr>
            <w:tcW w:w="0" w:type="auto"/>
            <w:tcBorders>
              <w:top w:val="nil"/>
              <w:left w:val="nil"/>
              <w:bottom w:val="single" w:sz="8" w:space="0" w:color="auto"/>
              <w:right w:val="single" w:sz="8" w:space="0" w:color="auto"/>
            </w:tcBorders>
            <w:shd w:val="clear" w:color="000000" w:fill="1F497D"/>
            <w:vAlign w:val="center"/>
            <w:hideMark/>
          </w:tcPr>
          <w:p w14:paraId="5D0A775A" w14:textId="77777777" w:rsidR="005818F7" w:rsidRPr="005818F7" w:rsidRDefault="005818F7" w:rsidP="005818F7">
            <w:pPr>
              <w:spacing w:after="0" w:line="240" w:lineRule="auto"/>
              <w:jc w:val="center"/>
              <w:rPr>
                <w:rFonts w:ascii="Book Antiqua" w:eastAsia="Times New Roman" w:hAnsi="Book Antiqua" w:cs="Calibri"/>
                <w:b/>
                <w:bCs/>
                <w:color w:val="FFFFFF"/>
                <w:sz w:val="18"/>
                <w:szCs w:val="18"/>
                <w:lang w:eastAsia="es-CR"/>
              </w:rPr>
            </w:pPr>
            <w:r w:rsidRPr="005818F7">
              <w:rPr>
                <w:rFonts w:ascii="Book Antiqua" w:eastAsia="Times New Roman" w:hAnsi="Book Antiqua" w:cs="Calibri"/>
                <w:b/>
                <w:bCs/>
                <w:color w:val="FFFFFF"/>
                <w:sz w:val="18"/>
                <w:szCs w:val="18"/>
                <w:lang w:eastAsia="es-CR"/>
              </w:rPr>
              <w:t>Limón</w:t>
            </w:r>
          </w:p>
        </w:tc>
        <w:tc>
          <w:tcPr>
            <w:tcW w:w="0" w:type="auto"/>
            <w:tcBorders>
              <w:top w:val="nil"/>
              <w:left w:val="nil"/>
              <w:bottom w:val="single" w:sz="8" w:space="0" w:color="auto"/>
              <w:right w:val="single" w:sz="8" w:space="0" w:color="auto"/>
            </w:tcBorders>
            <w:shd w:val="clear" w:color="000000" w:fill="1F497D"/>
            <w:vAlign w:val="center"/>
            <w:hideMark/>
          </w:tcPr>
          <w:p w14:paraId="75919ABF" w14:textId="77777777" w:rsidR="005818F7" w:rsidRPr="005818F7" w:rsidRDefault="005818F7" w:rsidP="005818F7">
            <w:pPr>
              <w:spacing w:after="0" w:line="240" w:lineRule="auto"/>
              <w:jc w:val="center"/>
              <w:rPr>
                <w:rFonts w:ascii="Book Antiqua" w:eastAsia="Times New Roman" w:hAnsi="Book Antiqua" w:cs="Calibri"/>
                <w:b/>
                <w:bCs/>
                <w:color w:val="FFFFFF"/>
                <w:sz w:val="18"/>
                <w:szCs w:val="18"/>
                <w:lang w:eastAsia="es-CR"/>
              </w:rPr>
            </w:pPr>
            <w:r w:rsidRPr="005818F7">
              <w:rPr>
                <w:rFonts w:ascii="Book Antiqua" w:eastAsia="Times New Roman" w:hAnsi="Book Antiqua" w:cs="Calibri"/>
                <w:b/>
                <w:bCs/>
                <w:color w:val="FFFFFF"/>
                <w:sz w:val="18"/>
                <w:szCs w:val="18"/>
                <w:lang w:eastAsia="es-CR"/>
              </w:rPr>
              <w:t>TOTAL</w:t>
            </w:r>
          </w:p>
        </w:tc>
      </w:tr>
      <w:tr w:rsidR="005818F7" w:rsidRPr="005818F7" w14:paraId="5428FB99" w14:textId="77777777" w:rsidTr="005818F7">
        <w:trPr>
          <w:trHeight w:val="310"/>
        </w:trPr>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5B9DD711" w14:textId="77777777" w:rsidR="005818F7" w:rsidRPr="00EB031E" w:rsidRDefault="005818F7" w:rsidP="005818F7">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Confirmatorias</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51508429"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267</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18EB02B2"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725</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0AD32C6D"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476</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625C0931"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541</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7FD99475"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423</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59214FC7"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360</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6DFE681F"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451</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53ED5D81"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3243</w:t>
            </w:r>
          </w:p>
        </w:tc>
      </w:tr>
      <w:tr w:rsidR="005818F7" w:rsidRPr="005818F7" w14:paraId="79DED3FB" w14:textId="77777777" w:rsidTr="00EB031E">
        <w:trPr>
          <w:trHeight w:val="310"/>
        </w:trPr>
        <w:tc>
          <w:tcPr>
            <w:tcW w:w="0" w:type="auto"/>
            <w:tcBorders>
              <w:top w:val="nil"/>
              <w:left w:val="single" w:sz="8" w:space="0" w:color="auto"/>
              <w:bottom w:val="double" w:sz="6" w:space="0" w:color="1F497D"/>
              <w:right w:val="double" w:sz="6" w:space="0" w:color="1F497D"/>
            </w:tcBorders>
            <w:shd w:val="clear" w:color="auto" w:fill="auto"/>
            <w:vAlign w:val="center"/>
            <w:hideMark/>
          </w:tcPr>
          <w:p w14:paraId="4348FF56" w14:textId="77777777" w:rsidR="005818F7" w:rsidRPr="00EB031E" w:rsidRDefault="005818F7" w:rsidP="005818F7">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Revocatorias</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62786F84"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177</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415AFCA9"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631</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5A9BB3D6"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206</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224F0DC8"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505</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4DD080DB"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130</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52EC2B2C"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215</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49411A1D"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285</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6193B049"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2149</w:t>
            </w:r>
          </w:p>
        </w:tc>
      </w:tr>
      <w:tr w:rsidR="005818F7" w:rsidRPr="005818F7" w14:paraId="582BA398" w14:textId="77777777" w:rsidTr="005818F7">
        <w:trPr>
          <w:trHeight w:val="310"/>
        </w:trPr>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747740DD" w14:textId="77777777" w:rsidR="005818F7" w:rsidRPr="00EB031E" w:rsidRDefault="005818F7" w:rsidP="005818F7">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Anulaciones</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1E0041B8"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109</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0AE5E4D2"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255</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30880FE0"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107</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6ED5D811"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174</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1CCF0042"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129</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4C49B606"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91</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42D8DA0C"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282</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1431DE58"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1147</w:t>
            </w:r>
          </w:p>
        </w:tc>
      </w:tr>
      <w:tr w:rsidR="005818F7" w:rsidRPr="005818F7" w14:paraId="64A637BC" w14:textId="77777777" w:rsidTr="005818F7">
        <w:trPr>
          <w:trHeight w:val="310"/>
        </w:trPr>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1D2FDEF4" w14:textId="77777777" w:rsidR="005818F7" w:rsidRPr="00EB031E" w:rsidRDefault="005818F7" w:rsidP="005818F7">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Otro tipo de resolución</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5088FD39"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128</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32675198"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266</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40B1FE8C"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227</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077F21E5"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168</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33440A49"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62</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544B5FEB"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105</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6AABAC8F"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118</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5707E342"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1074</w:t>
            </w:r>
          </w:p>
        </w:tc>
      </w:tr>
      <w:tr w:rsidR="005818F7" w:rsidRPr="005818F7" w14:paraId="35A86C9D" w14:textId="77777777" w:rsidTr="00EB031E">
        <w:trPr>
          <w:trHeight w:val="310"/>
        </w:trPr>
        <w:tc>
          <w:tcPr>
            <w:tcW w:w="0" w:type="auto"/>
            <w:tcBorders>
              <w:top w:val="nil"/>
              <w:left w:val="single" w:sz="8" w:space="0" w:color="auto"/>
              <w:bottom w:val="double" w:sz="6" w:space="0" w:color="1F497D"/>
              <w:right w:val="double" w:sz="6" w:space="0" w:color="1F497D"/>
            </w:tcBorders>
            <w:shd w:val="clear" w:color="auto" w:fill="auto"/>
            <w:vAlign w:val="center"/>
            <w:hideMark/>
          </w:tcPr>
          <w:p w14:paraId="57B5228E" w14:textId="77777777" w:rsidR="005818F7" w:rsidRPr="00EB031E" w:rsidRDefault="005818F7" w:rsidP="005818F7">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Desierta, mal admitida</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5AFB73B5"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43</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7B92C396"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210</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486653B8"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357</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18A687FF"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84</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47BC066C"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72</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134F2D56"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92</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5F8AF663"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60</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711B0C01"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918</w:t>
            </w:r>
          </w:p>
        </w:tc>
      </w:tr>
      <w:tr w:rsidR="005818F7" w:rsidRPr="005818F7" w14:paraId="69BB3576" w14:textId="77777777" w:rsidTr="00EB031E">
        <w:trPr>
          <w:trHeight w:val="310"/>
        </w:trPr>
        <w:tc>
          <w:tcPr>
            <w:tcW w:w="0" w:type="auto"/>
            <w:tcBorders>
              <w:top w:val="nil"/>
              <w:left w:val="single" w:sz="8" w:space="0" w:color="auto"/>
              <w:bottom w:val="double" w:sz="6" w:space="0" w:color="1F497D"/>
              <w:right w:val="double" w:sz="6" w:space="0" w:color="1F497D"/>
            </w:tcBorders>
            <w:shd w:val="clear" w:color="auto" w:fill="auto"/>
            <w:vAlign w:val="center"/>
            <w:hideMark/>
          </w:tcPr>
          <w:p w14:paraId="195B8C65" w14:textId="77777777" w:rsidR="005818F7" w:rsidRPr="00EB031E" w:rsidRDefault="005818F7" w:rsidP="005818F7">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Sin lugar (Apel. por inadmisión)</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6825AB7F"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33</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083118CF"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131</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5E915F5D"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94</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0A046C66"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64</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66BF30F6"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89</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4FC63824"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42</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026490B4"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59</w:t>
            </w:r>
          </w:p>
        </w:tc>
        <w:tc>
          <w:tcPr>
            <w:tcW w:w="0" w:type="auto"/>
            <w:tcBorders>
              <w:top w:val="nil"/>
              <w:left w:val="single" w:sz="8" w:space="0" w:color="auto"/>
              <w:bottom w:val="double" w:sz="6" w:space="0" w:color="1F497D"/>
              <w:right w:val="double" w:sz="6" w:space="0" w:color="1F497D"/>
            </w:tcBorders>
            <w:shd w:val="clear" w:color="auto" w:fill="auto"/>
            <w:vAlign w:val="center"/>
            <w:hideMark/>
          </w:tcPr>
          <w:p w14:paraId="670FF1C6"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512</w:t>
            </w:r>
          </w:p>
        </w:tc>
      </w:tr>
      <w:tr w:rsidR="005818F7" w:rsidRPr="005818F7" w14:paraId="74072F14" w14:textId="77777777" w:rsidTr="005818F7">
        <w:trPr>
          <w:trHeight w:val="310"/>
        </w:trPr>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4DFEDC5D" w14:textId="77777777" w:rsidR="005818F7" w:rsidRPr="00EB031E" w:rsidRDefault="005818F7" w:rsidP="005818F7">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Se rechaza apelación</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4558B639"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31</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77538BC2"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54</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5B25969F"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16</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4C10496C"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27DD9126"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32</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7A161B45"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36</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3D21164F"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62</w:t>
            </w:r>
          </w:p>
        </w:tc>
        <w:tc>
          <w:tcPr>
            <w:tcW w:w="0" w:type="auto"/>
            <w:tcBorders>
              <w:top w:val="nil"/>
              <w:left w:val="single" w:sz="8" w:space="0" w:color="auto"/>
              <w:bottom w:val="double" w:sz="6" w:space="0" w:color="1F497D"/>
              <w:right w:val="double" w:sz="6" w:space="0" w:color="1F497D"/>
            </w:tcBorders>
            <w:shd w:val="clear" w:color="000000" w:fill="DCE6F1"/>
            <w:vAlign w:val="center"/>
            <w:hideMark/>
          </w:tcPr>
          <w:p w14:paraId="3961B26F" w14:textId="77777777" w:rsidR="005818F7" w:rsidRPr="00EB031E" w:rsidRDefault="005818F7" w:rsidP="005818F7">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234</w:t>
            </w:r>
          </w:p>
        </w:tc>
      </w:tr>
      <w:tr w:rsidR="005818F7" w:rsidRPr="005818F7" w14:paraId="3CF71598" w14:textId="77777777" w:rsidTr="00EB031E">
        <w:trPr>
          <w:trHeight w:val="310"/>
        </w:trPr>
        <w:tc>
          <w:tcPr>
            <w:tcW w:w="0" w:type="auto"/>
            <w:tcBorders>
              <w:top w:val="nil"/>
              <w:left w:val="single" w:sz="8" w:space="0" w:color="auto"/>
              <w:bottom w:val="single" w:sz="8" w:space="0" w:color="auto"/>
              <w:right w:val="double" w:sz="6" w:space="0" w:color="1F497D"/>
            </w:tcBorders>
            <w:shd w:val="clear" w:color="auto" w:fill="auto"/>
            <w:vAlign w:val="center"/>
            <w:hideMark/>
          </w:tcPr>
          <w:p w14:paraId="52A5FB8A" w14:textId="77777777" w:rsidR="005818F7" w:rsidRPr="00EB031E" w:rsidRDefault="005818F7" w:rsidP="005818F7">
            <w:pPr>
              <w:spacing w:after="0" w:line="240" w:lineRule="auto"/>
              <w:jc w:val="right"/>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 xml:space="preserve">Total </w:t>
            </w:r>
          </w:p>
        </w:tc>
        <w:tc>
          <w:tcPr>
            <w:tcW w:w="0" w:type="auto"/>
            <w:tcBorders>
              <w:top w:val="nil"/>
              <w:left w:val="single" w:sz="8" w:space="0" w:color="auto"/>
              <w:bottom w:val="single" w:sz="8" w:space="0" w:color="auto"/>
              <w:right w:val="double" w:sz="6" w:space="0" w:color="1F497D"/>
            </w:tcBorders>
            <w:shd w:val="clear" w:color="auto" w:fill="auto"/>
            <w:vAlign w:val="center"/>
            <w:hideMark/>
          </w:tcPr>
          <w:p w14:paraId="44AFBEEA" w14:textId="77777777" w:rsidR="005818F7" w:rsidRPr="00EB031E" w:rsidRDefault="005818F7" w:rsidP="005818F7">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788</w:t>
            </w:r>
          </w:p>
        </w:tc>
        <w:tc>
          <w:tcPr>
            <w:tcW w:w="0" w:type="auto"/>
            <w:tcBorders>
              <w:top w:val="nil"/>
              <w:left w:val="single" w:sz="8" w:space="0" w:color="auto"/>
              <w:bottom w:val="single" w:sz="8" w:space="0" w:color="auto"/>
              <w:right w:val="double" w:sz="6" w:space="0" w:color="1F497D"/>
            </w:tcBorders>
            <w:shd w:val="clear" w:color="auto" w:fill="auto"/>
            <w:vAlign w:val="center"/>
            <w:hideMark/>
          </w:tcPr>
          <w:p w14:paraId="253BF26C" w14:textId="77777777" w:rsidR="005818F7" w:rsidRPr="00EB031E" w:rsidRDefault="005818F7" w:rsidP="005818F7">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2272</w:t>
            </w:r>
          </w:p>
        </w:tc>
        <w:tc>
          <w:tcPr>
            <w:tcW w:w="0" w:type="auto"/>
            <w:tcBorders>
              <w:top w:val="nil"/>
              <w:left w:val="single" w:sz="8" w:space="0" w:color="auto"/>
              <w:bottom w:val="single" w:sz="8" w:space="0" w:color="auto"/>
              <w:right w:val="double" w:sz="6" w:space="0" w:color="1F497D"/>
            </w:tcBorders>
            <w:shd w:val="clear" w:color="auto" w:fill="auto"/>
            <w:vAlign w:val="center"/>
            <w:hideMark/>
          </w:tcPr>
          <w:p w14:paraId="07CFE3CB" w14:textId="77777777" w:rsidR="005818F7" w:rsidRPr="00EB031E" w:rsidRDefault="005818F7" w:rsidP="005818F7">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1483</w:t>
            </w:r>
          </w:p>
        </w:tc>
        <w:tc>
          <w:tcPr>
            <w:tcW w:w="0" w:type="auto"/>
            <w:tcBorders>
              <w:top w:val="nil"/>
              <w:left w:val="single" w:sz="8" w:space="0" w:color="auto"/>
              <w:bottom w:val="single" w:sz="8" w:space="0" w:color="auto"/>
              <w:right w:val="double" w:sz="6" w:space="0" w:color="1F497D"/>
            </w:tcBorders>
            <w:shd w:val="clear" w:color="auto" w:fill="auto"/>
            <w:vAlign w:val="center"/>
            <w:hideMark/>
          </w:tcPr>
          <w:p w14:paraId="4D628BF5" w14:textId="77777777" w:rsidR="005818F7" w:rsidRPr="00EB031E" w:rsidRDefault="005818F7" w:rsidP="005818F7">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1539</w:t>
            </w:r>
          </w:p>
        </w:tc>
        <w:tc>
          <w:tcPr>
            <w:tcW w:w="0" w:type="auto"/>
            <w:tcBorders>
              <w:top w:val="nil"/>
              <w:left w:val="single" w:sz="8" w:space="0" w:color="auto"/>
              <w:bottom w:val="single" w:sz="8" w:space="0" w:color="auto"/>
              <w:right w:val="double" w:sz="6" w:space="0" w:color="1F497D"/>
            </w:tcBorders>
            <w:shd w:val="clear" w:color="auto" w:fill="auto"/>
            <w:vAlign w:val="center"/>
            <w:hideMark/>
          </w:tcPr>
          <w:p w14:paraId="58A00C18" w14:textId="77777777" w:rsidR="005818F7" w:rsidRPr="00EB031E" w:rsidRDefault="005818F7" w:rsidP="005818F7">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937</w:t>
            </w:r>
          </w:p>
        </w:tc>
        <w:tc>
          <w:tcPr>
            <w:tcW w:w="0" w:type="auto"/>
            <w:tcBorders>
              <w:top w:val="nil"/>
              <w:left w:val="single" w:sz="8" w:space="0" w:color="auto"/>
              <w:bottom w:val="single" w:sz="8" w:space="0" w:color="auto"/>
              <w:right w:val="double" w:sz="6" w:space="0" w:color="1F497D"/>
            </w:tcBorders>
            <w:shd w:val="clear" w:color="auto" w:fill="auto"/>
            <w:vAlign w:val="center"/>
            <w:hideMark/>
          </w:tcPr>
          <w:p w14:paraId="0EFCE99C" w14:textId="77777777" w:rsidR="005818F7" w:rsidRPr="00EB031E" w:rsidRDefault="005818F7" w:rsidP="005818F7">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941</w:t>
            </w:r>
          </w:p>
        </w:tc>
        <w:tc>
          <w:tcPr>
            <w:tcW w:w="0" w:type="auto"/>
            <w:tcBorders>
              <w:top w:val="nil"/>
              <w:left w:val="single" w:sz="8" w:space="0" w:color="auto"/>
              <w:bottom w:val="single" w:sz="8" w:space="0" w:color="auto"/>
              <w:right w:val="double" w:sz="6" w:space="0" w:color="1F497D"/>
            </w:tcBorders>
            <w:shd w:val="clear" w:color="auto" w:fill="auto"/>
            <w:vAlign w:val="center"/>
            <w:hideMark/>
          </w:tcPr>
          <w:p w14:paraId="179AC6F0" w14:textId="77777777" w:rsidR="005818F7" w:rsidRPr="00EB031E" w:rsidRDefault="005818F7" w:rsidP="005818F7">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1317</w:t>
            </w:r>
          </w:p>
        </w:tc>
        <w:tc>
          <w:tcPr>
            <w:tcW w:w="0" w:type="auto"/>
            <w:tcBorders>
              <w:top w:val="nil"/>
              <w:left w:val="single" w:sz="8" w:space="0" w:color="auto"/>
              <w:bottom w:val="single" w:sz="8" w:space="0" w:color="auto"/>
              <w:right w:val="double" w:sz="6" w:space="0" w:color="1F497D"/>
            </w:tcBorders>
            <w:shd w:val="clear" w:color="auto" w:fill="auto"/>
            <w:vAlign w:val="center"/>
            <w:hideMark/>
          </w:tcPr>
          <w:p w14:paraId="27CEA0AF" w14:textId="77777777" w:rsidR="005818F7" w:rsidRPr="00EB031E" w:rsidRDefault="005818F7" w:rsidP="005818F7">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9277</w:t>
            </w:r>
          </w:p>
        </w:tc>
      </w:tr>
    </w:tbl>
    <w:p w14:paraId="553EC20F" w14:textId="2D4ACF4F" w:rsidR="00446011" w:rsidRPr="00410ED4" w:rsidRDefault="00446011" w:rsidP="00446011">
      <w:pPr>
        <w:jc w:val="both"/>
        <w:rPr>
          <w:rFonts w:ascii="Book Antiqua" w:hAnsi="Book Antiqua"/>
          <w:b/>
          <w:i/>
          <w:sz w:val="20"/>
        </w:rPr>
      </w:pPr>
      <w:r w:rsidRPr="00410ED4">
        <w:rPr>
          <w:rFonts w:ascii="Book Antiqua" w:hAnsi="Book Antiqua"/>
          <w:b/>
          <w:i/>
          <w:sz w:val="20"/>
        </w:rPr>
        <w:t xml:space="preserve">Fuente: </w:t>
      </w:r>
      <w:r w:rsidR="0049298F" w:rsidRPr="006602D9">
        <w:rPr>
          <w:rFonts w:ascii="Book Antiqua" w:hAnsi="Book Antiqua"/>
          <w:bCs/>
          <w:i/>
          <w:sz w:val="20"/>
        </w:rPr>
        <w:t>Anuario Estadístico Judicial 2018, 2019, 2020, los datos del primer semestre del 2021 son datos obtenidos de SIGMA.</w:t>
      </w:r>
    </w:p>
    <w:p w14:paraId="6CE335CB" w14:textId="166B4F15" w:rsidR="00446011" w:rsidRPr="00410ED4" w:rsidRDefault="00A10A81" w:rsidP="0060505C">
      <w:pPr>
        <w:spacing w:line="276" w:lineRule="auto"/>
        <w:jc w:val="both"/>
        <w:rPr>
          <w:rFonts w:ascii="Book Antiqua" w:hAnsi="Book Antiqua"/>
        </w:rPr>
      </w:pPr>
      <w:r w:rsidRPr="00410ED4">
        <w:rPr>
          <w:rFonts w:ascii="Book Antiqua" w:hAnsi="Book Antiqua"/>
        </w:rPr>
        <w:t>Con respecto a los casos terminados en materia de Trabajo en los Tribunales de Apelación Civil y Trabajo de país</w:t>
      </w:r>
      <w:r w:rsidR="00A15CEE">
        <w:rPr>
          <w:rFonts w:ascii="Book Antiqua" w:hAnsi="Book Antiqua"/>
        </w:rPr>
        <w:t xml:space="preserve"> </w:t>
      </w:r>
      <w:r w:rsidR="00BD2212">
        <w:rPr>
          <w:rFonts w:ascii="Book Antiqua" w:hAnsi="Book Antiqua"/>
        </w:rPr>
        <w:t>(Mixto)</w:t>
      </w:r>
      <w:r w:rsidRPr="00410ED4">
        <w:rPr>
          <w:rFonts w:ascii="Book Antiqua" w:hAnsi="Book Antiqua"/>
        </w:rPr>
        <w:t xml:space="preserve">, durante el </w:t>
      </w:r>
      <w:r w:rsidR="00C96BBA">
        <w:rPr>
          <w:rFonts w:ascii="Book Antiqua" w:hAnsi="Book Antiqua"/>
        </w:rPr>
        <w:t>periodo analizado</w:t>
      </w:r>
      <w:r w:rsidR="00C96BBA" w:rsidRPr="00410ED4">
        <w:rPr>
          <w:rFonts w:ascii="Book Antiqua" w:hAnsi="Book Antiqua"/>
        </w:rPr>
        <w:t xml:space="preserve"> </w:t>
      </w:r>
      <w:r w:rsidRPr="00410ED4">
        <w:rPr>
          <w:rFonts w:ascii="Book Antiqua" w:hAnsi="Book Antiqua"/>
        </w:rPr>
        <w:t xml:space="preserve">se lograron concluir </w:t>
      </w:r>
      <w:r w:rsidR="0049298F">
        <w:rPr>
          <w:rFonts w:ascii="Book Antiqua" w:hAnsi="Book Antiqua"/>
        </w:rPr>
        <w:t>9277</w:t>
      </w:r>
      <w:r w:rsidR="0049298F" w:rsidRPr="00410ED4">
        <w:rPr>
          <w:rFonts w:ascii="Book Antiqua" w:hAnsi="Book Antiqua"/>
        </w:rPr>
        <w:t xml:space="preserve"> </w:t>
      </w:r>
      <w:r w:rsidRPr="00410ED4">
        <w:rPr>
          <w:rFonts w:ascii="Book Antiqua" w:hAnsi="Book Antiqua"/>
        </w:rPr>
        <w:t>casos, de los cuales el 3</w:t>
      </w:r>
      <w:r w:rsidR="00A9194C">
        <w:rPr>
          <w:rFonts w:ascii="Book Antiqua" w:hAnsi="Book Antiqua"/>
        </w:rPr>
        <w:t>5</w:t>
      </w:r>
      <w:r w:rsidRPr="00410ED4">
        <w:rPr>
          <w:rFonts w:ascii="Book Antiqua" w:hAnsi="Book Antiqua"/>
        </w:rPr>
        <w:t>% fueron finalizados por resolución Confirmatoria, un 2</w:t>
      </w:r>
      <w:r w:rsidR="00A9194C">
        <w:rPr>
          <w:rFonts w:ascii="Book Antiqua" w:hAnsi="Book Antiqua"/>
        </w:rPr>
        <w:t>3</w:t>
      </w:r>
      <w:r w:rsidRPr="00410ED4">
        <w:rPr>
          <w:rFonts w:ascii="Book Antiqua" w:hAnsi="Book Antiqua"/>
        </w:rPr>
        <w:t xml:space="preserve">% de los casos finalizaron por Revocatoria y un 12% por </w:t>
      </w:r>
      <w:r w:rsidR="00941A0D" w:rsidRPr="00410ED4">
        <w:rPr>
          <w:rFonts w:ascii="Book Antiqua" w:hAnsi="Book Antiqua"/>
        </w:rPr>
        <w:t xml:space="preserve">Anulaciones, </w:t>
      </w:r>
      <w:r w:rsidR="00941A0D">
        <w:rPr>
          <w:rFonts w:ascii="Book Antiqua" w:hAnsi="Book Antiqua"/>
        </w:rPr>
        <w:t>lo</w:t>
      </w:r>
      <w:r w:rsidR="00406918">
        <w:rPr>
          <w:rFonts w:ascii="Book Antiqua" w:hAnsi="Book Antiqua"/>
        </w:rPr>
        <w:t xml:space="preserve"> </w:t>
      </w:r>
      <w:r w:rsidRPr="00410ED4">
        <w:rPr>
          <w:rFonts w:ascii="Book Antiqua" w:hAnsi="Book Antiqua"/>
        </w:rPr>
        <w:t xml:space="preserve">cual significa que estos tres tipos de resoluciones son las </w:t>
      </w:r>
      <w:r w:rsidR="00B33AD0" w:rsidRPr="00410ED4">
        <w:rPr>
          <w:rFonts w:ascii="Book Antiqua" w:hAnsi="Book Antiqua"/>
        </w:rPr>
        <w:t>más</w:t>
      </w:r>
      <w:r w:rsidRPr="00410ED4">
        <w:rPr>
          <w:rFonts w:ascii="Book Antiqua" w:hAnsi="Book Antiqua"/>
        </w:rPr>
        <w:t xml:space="preserve"> representativa</w:t>
      </w:r>
      <w:r w:rsidR="00406918">
        <w:rPr>
          <w:rFonts w:ascii="Book Antiqua" w:hAnsi="Book Antiqua"/>
        </w:rPr>
        <w:t>s</w:t>
      </w:r>
      <w:r w:rsidRPr="00410ED4">
        <w:rPr>
          <w:rFonts w:ascii="Book Antiqua" w:hAnsi="Book Antiqua"/>
        </w:rPr>
        <w:t xml:space="preserve"> en la finalidad de casos</w:t>
      </w:r>
      <w:r w:rsidR="006D0B85">
        <w:rPr>
          <w:rFonts w:ascii="Book Antiqua" w:hAnsi="Book Antiqua"/>
        </w:rPr>
        <w:t xml:space="preserve"> en materia laboral</w:t>
      </w:r>
      <w:r w:rsidRPr="00410ED4">
        <w:rPr>
          <w:rFonts w:ascii="Book Antiqua" w:hAnsi="Book Antiqua"/>
        </w:rPr>
        <w:t xml:space="preserve">. </w:t>
      </w:r>
      <w:r w:rsidR="00C8133D">
        <w:rPr>
          <w:rFonts w:ascii="Book Antiqua" w:hAnsi="Book Antiqua"/>
        </w:rPr>
        <w:t>El Tr</w:t>
      </w:r>
      <w:r w:rsidR="000C7FA3">
        <w:rPr>
          <w:rFonts w:ascii="Book Antiqua" w:hAnsi="Book Antiqua"/>
        </w:rPr>
        <w:t xml:space="preserve">ibunal de Apelaciones de Alajuela corresponde al Despacho que finalizó más asuntos en material </w:t>
      </w:r>
      <w:r w:rsidR="00881337">
        <w:rPr>
          <w:rFonts w:ascii="Book Antiqua" w:hAnsi="Book Antiqua"/>
        </w:rPr>
        <w:t xml:space="preserve">de Trabajo </w:t>
      </w:r>
      <w:r w:rsidR="000C7FA3">
        <w:rPr>
          <w:rFonts w:ascii="Book Antiqua" w:hAnsi="Book Antiqua"/>
        </w:rPr>
        <w:t xml:space="preserve">con </w:t>
      </w:r>
      <w:r w:rsidR="00C82DB1">
        <w:rPr>
          <w:rFonts w:ascii="Book Antiqua" w:hAnsi="Book Antiqua"/>
        </w:rPr>
        <w:t xml:space="preserve">1483 </w:t>
      </w:r>
      <w:r w:rsidR="000C7FA3">
        <w:rPr>
          <w:rFonts w:ascii="Book Antiqua" w:hAnsi="Book Antiqua"/>
        </w:rPr>
        <w:t xml:space="preserve">en el periodo analizado. </w:t>
      </w:r>
    </w:p>
    <w:p w14:paraId="34AA6C10" w14:textId="77777777" w:rsidR="00941A0D" w:rsidRDefault="00941A0D" w:rsidP="0029206D">
      <w:pPr>
        <w:jc w:val="both"/>
        <w:rPr>
          <w:rFonts w:ascii="Book Antiqua" w:hAnsi="Book Antiqua"/>
        </w:rPr>
      </w:pPr>
    </w:p>
    <w:p w14:paraId="7B2657CE" w14:textId="167C867C" w:rsidR="00D90DCD" w:rsidRDefault="00941A0D" w:rsidP="009C259C">
      <w:pPr>
        <w:pStyle w:val="Ttulo3"/>
        <w:numPr>
          <w:ilvl w:val="1"/>
          <w:numId w:val="1"/>
        </w:numPr>
        <w:rPr>
          <w:rFonts w:ascii="Book Antiqua" w:hAnsi="Book Antiqua"/>
          <w:b/>
          <w:color w:val="000000" w:themeColor="text1"/>
          <w:szCs w:val="22"/>
        </w:rPr>
      </w:pPr>
      <w:r w:rsidRPr="006E17B3">
        <w:rPr>
          <w:rFonts w:ascii="Book Antiqua" w:hAnsi="Book Antiqua"/>
          <w:b/>
          <w:color w:val="000000" w:themeColor="text1"/>
          <w:szCs w:val="22"/>
        </w:rPr>
        <w:t>Planes de descongestionamiento</w:t>
      </w:r>
    </w:p>
    <w:p w14:paraId="424013AB" w14:textId="77777777" w:rsidR="00EB438A" w:rsidRPr="006E17B3" w:rsidRDefault="00EB438A" w:rsidP="006E17B3"/>
    <w:p w14:paraId="6F130894" w14:textId="6AE2A053" w:rsidR="00D90DCD" w:rsidRDefault="00D90DCD" w:rsidP="00D90DCD">
      <w:pPr>
        <w:spacing w:line="276" w:lineRule="auto"/>
        <w:jc w:val="both"/>
        <w:rPr>
          <w:rFonts w:ascii="Book Antiqua" w:hAnsi="Book Antiqua"/>
        </w:rPr>
      </w:pPr>
      <w:r w:rsidRPr="00E979FF">
        <w:rPr>
          <w:rFonts w:ascii="Book Antiqua" w:hAnsi="Book Antiqua"/>
        </w:rPr>
        <w:t xml:space="preserve">El Centro de Apoyo, Coordinación y Mejoramiento de la Función Jurisdiccional </w:t>
      </w:r>
      <w:r>
        <w:rPr>
          <w:rFonts w:ascii="Book Antiqua" w:hAnsi="Book Antiqua"/>
        </w:rPr>
        <w:t>durante el</w:t>
      </w:r>
      <w:r w:rsidRPr="00DE6EFA">
        <w:rPr>
          <w:rFonts w:ascii="Book Antiqua" w:hAnsi="Book Antiqua"/>
        </w:rPr>
        <w:t xml:space="preserve"> 2018 </w:t>
      </w:r>
      <w:r>
        <w:rPr>
          <w:rFonts w:ascii="Book Antiqua" w:hAnsi="Book Antiqua"/>
        </w:rPr>
        <w:t xml:space="preserve">y 2019 brindó </w:t>
      </w:r>
      <w:r w:rsidRPr="00DE6EFA">
        <w:rPr>
          <w:rFonts w:ascii="Book Antiqua" w:hAnsi="Book Antiqua"/>
        </w:rPr>
        <w:t>la colaboración de</w:t>
      </w:r>
      <w:r w:rsidRPr="0065187D">
        <w:rPr>
          <w:rFonts w:ascii="Book Antiqua" w:hAnsi="Book Antiqua"/>
        </w:rPr>
        <w:t>l</w:t>
      </w:r>
      <w:r w:rsidRPr="00EE0A41">
        <w:rPr>
          <w:rFonts w:ascii="Book Antiqua" w:hAnsi="Book Antiqua"/>
        </w:rPr>
        <w:t xml:space="preserve"> dictado de sentencias</w:t>
      </w:r>
      <w:r w:rsidRPr="00E979FF">
        <w:rPr>
          <w:rFonts w:ascii="Book Antiqua" w:hAnsi="Book Antiqua"/>
        </w:rPr>
        <w:t xml:space="preserve"> a los diferentes Tribunales de Apelación Civil y Trabajo</w:t>
      </w:r>
      <w:r w:rsidR="00291398">
        <w:rPr>
          <w:rFonts w:ascii="Book Antiqua" w:hAnsi="Book Antiqua"/>
        </w:rPr>
        <w:t xml:space="preserve"> (Mixto)</w:t>
      </w:r>
      <w:r w:rsidRPr="00E979FF">
        <w:rPr>
          <w:rFonts w:ascii="Book Antiqua" w:hAnsi="Book Antiqua"/>
        </w:rPr>
        <w:t xml:space="preserve">, </w:t>
      </w:r>
      <w:r w:rsidR="000B5279">
        <w:rPr>
          <w:rFonts w:ascii="Book Antiqua" w:hAnsi="Book Antiqua"/>
        </w:rPr>
        <w:t xml:space="preserve">por lo tanto, es relevante mostrar a continuación el impacto de dichos planes en cada uno de los tribunales </w:t>
      </w:r>
      <w:r w:rsidR="006E17B3">
        <w:rPr>
          <w:rFonts w:ascii="Book Antiqua" w:hAnsi="Book Antiqua"/>
        </w:rPr>
        <w:t>analizados,</w:t>
      </w:r>
      <w:r w:rsidR="000B5279">
        <w:rPr>
          <w:rFonts w:ascii="Book Antiqua" w:hAnsi="Book Antiqua"/>
        </w:rPr>
        <w:t xml:space="preserve"> así como la cantidad de expedientes concluidos</w:t>
      </w:r>
      <w:r w:rsidR="008C70FF">
        <w:rPr>
          <w:rFonts w:ascii="Book Antiqua" w:hAnsi="Book Antiqua"/>
        </w:rPr>
        <w:t xml:space="preserve"> específicamente por el trabajo que realiza cada uno de los tribunales, la información se muestra a continuación: </w:t>
      </w:r>
    </w:p>
    <w:p w14:paraId="483D0B54" w14:textId="77777777" w:rsidR="00D90DCD" w:rsidRDefault="00D90DCD" w:rsidP="00D90DCD">
      <w:pPr>
        <w:jc w:val="both"/>
        <w:rPr>
          <w:rFonts w:ascii="Book Antiqua" w:hAnsi="Book Antiqua"/>
          <w:b/>
          <w:bCs/>
        </w:rPr>
      </w:pPr>
    </w:p>
    <w:p w14:paraId="68E86F34" w14:textId="77777777" w:rsidR="00D90DCD" w:rsidRDefault="00D90DCD" w:rsidP="00D90DCD">
      <w:pPr>
        <w:jc w:val="both"/>
        <w:rPr>
          <w:rFonts w:ascii="Book Antiqua" w:hAnsi="Book Antiqua"/>
          <w:b/>
          <w:bCs/>
        </w:rPr>
      </w:pPr>
    </w:p>
    <w:p w14:paraId="37FF07FD" w14:textId="77777777" w:rsidR="00D90DCD" w:rsidRPr="003A32B1" w:rsidRDefault="00D90DCD" w:rsidP="00D90DCD">
      <w:pPr>
        <w:jc w:val="both"/>
        <w:rPr>
          <w:rFonts w:ascii="Book Antiqua" w:hAnsi="Book Antiqua"/>
          <w:b/>
          <w:bCs/>
        </w:rPr>
        <w:sectPr w:rsidR="00D90DCD" w:rsidRPr="003A32B1" w:rsidSect="003377DE">
          <w:headerReference w:type="default" r:id="rId14"/>
          <w:footerReference w:type="default" r:id="rId15"/>
          <w:pgSz w:w="12240" w:h="15840"/>
          <w:pgMar w:top="1418" w:right="1701" w:bottom="1418" w:left="1701" w:header="709" w:footer="709" w:gutter="0"/>
          <w:cols w:space="708"/>
          <w:docGrid w:linePitch="360"/>
        </w:sectPr>
      </w:pPr>
    </w:p>
    <w:p w14:paraId="504CA687" w14:textId="3CC40F29" w:rsidR="00DB3347" w:rsidRPr="00410ED4" w:rsidRDefault="00DB3347" w:rsidP="00DB3347">
      <w:pPr>
        <w:keepNext/>
        <w:widowControl w:val="0"/>
        <w:autoSpaceDE w:val="0"/>
        <w:autoSpaceDN w:val="0"/>
        <w:adjustRightInd w:val="0"/>
        <w:spacing w:after="0" w:line="240" w:lineRule="auto"/>
        <w:jc w:val="center"/>
        <w:rPr>
          <w:rFonts w:ascii="Book Antiqua" w:eastAsia="Times New Roman" w:hAnsi="Book Antiqua" w:cs="Arial"/>
          <w:b/>
          <w:bCs/>
          <w:color w:val="1F497D" w:themeColor="text2"/>
          <w:lang w:eastAsia="es-ES"/>
        </w:rPr>
      </w:pPr>
      <w:r w:rsidRPr="00410ED4">
        <w:rPr>
          <w:rFonts w:ascii="Book Antiqua" w:eastAsia="Times New Roman" w:hAnsi="Book Antiqua" w:cs="Arial"/>
          <w:b/>
          <w:bCs/>
          <w:color w:val="1F497D" w:themeColor="text2"/>
          <w:lang w:eastAsia="es-ES"/>
        </w:rPr>
        <w:t xml:space="preserve">Cuadro </w:t>
      </w:r>
      <w:r w:rsidRPr="00410ED4">
        <w:rPr>
          <w:rFonts w:ascii="Book Antiqua" w:eastAsia="Times New Roman" w:hAnsi="Book Antiqua" w:cs="Arial"/>
          <w:b/>
          <w:bCs/>
          <w:color w:val="1F497D" w:themeColor="text2"/>
          <w:lang w:eastAsia="es-ES"/>
        </w:rPr>
        <w:fldChar w:fldCharType="begin"/>
      </w:r>
      <w:r w:rsidRPr="00410ED4">
        <w:rPr>
          <w:rFonts w:ascii="Book Antiqua" w:eastAsia="Times New Roman" w:hAnsi="Book Antiqua" w:cs="Arial"/>
          <w:b/>
          <w:bCs/>
          <w:color w:val="1F497D" w:themeColor="text2"/>
          <w:lang w:eastAsia="es-ES"/>
        </w:rPr>
        <w:instrText xml:space="preserve"> SEQ Cuadro \* ARABIC </w:instrText>
      </w:r>
      <w:r w:rsidRPr="00410ED4">
        <w:rPr>
          <w:rFonts w:ascii="Book Antiqua" w:eastAsia="Times New Roman" w:hAnsi="Book Antiqua" w:cs="Arial"/>
          <w:b/>
          <w:bCs/>
          <w:color w:val="1F497D" w:themeColor="text2"/>
          <w:lang w:eastAsia="es-ES"/>
        </w:rPr>
        <w:fldChar w:fldCharType="separate"/>
      </w:r>
      <w:r>
        <w:rPr>
          <w:rFonts w:ascii="Book Antiqua" w:eastAsia="Times New Roman" w:hAnsi="Book Antiqua" w:cs="Arial"/>
          <w:b/>
          <w:bCs/>
          <w:noProof/>
          <w:color w:val="1F497D" w:themeColor="text2"/>
          <w:lang w:eastAsia="es-ES"/>
        </w:rPr>
        <w:t>8</w:t>
      </w:r>
      <w:r w:rsidRPr="00410ED4">
        <w:rPr>
          <w:rFonts w:ascii="Book Antiqua" w:eastAsia="Times New Roman" w:hAnsi="Book Antiqua" w:cs="Arial"/>
          <w:b/>
          <w:bCs/>
          <w:color w:val="1F497D" w:themeColor="text2"/>
          <w:lang w:eastAsia="es-ES"/>
        </w:rPr>
        <w:fldChar w:fldCharType="end"/>
      </w:r>
    </w:p>
    <w:p w14:paraId="7F1EDFF8" w14:textId="593CE0E4" w:rsidR="00D90DCD" w:rsidRPr="00DB3347" w:rsidRDefault="00DB7D32" w:rsidP="00D90DCD">
      <w:pPr>
        <w:keepNext/>
        <w:widowControl w:val="0"/>
        <w:autoSpaceDE w:val="0"/>
        <w:autoSpaceDN w:val="0"/>
        <w:adjustRightInd w:val="0"/>
        <w:spacing w:after="0" w:line="240" w:lineRule="auto"/>
        <w:jc w:val="center"/>
        <w:rPr>
          <w:rFonts w:ascii="Book Antiqua" w:eastAsia="Times New Roman" w:hAnsi="Book Antiqua" w:cs="Arial"/>
          <w:b/>
          <w:bCs/>
          <w:color w:val="1F497D" w:themeColor="text2"/>
          <w:lang w:eastAsia="es-ES"/>
        </w:rPr>
      </w:pPr>
      <w:r w:rsidRPr="00DB3347">
        <w:rPr>
          <w:rFonts w:ascii="Book Antiqua" w:eastAsia="Times New Roman" w:hAnsi="Book Antiqua" w:cs="Arial"/>
          <w:b/>
          <w:bCs/>
          <w:color w:val="1F497D" w:themeColor="text2"/>
          <w:lang w:eastAsia="es-ES"/>
        </w:rPr>
        <w:t>Resultado de planes de descongestionamiento del Centro de Apoyo, Coordinación y Mejoramiento de la Función Jurisdiccional durante el 2018 y 2019</w:t>
      </w:r>
    </w:p>
    <w:tbl>
      <w:tblPr>
        <w:tblW w:w="0" w:type="auto"/>
        <w:tblLayout w:type="fixed"/>
        <w:tblCellMar>
          <w:left w:w="70" w:type="dxa"/>
          <w:right w:w="70" w:type="dxa"/>
        </w:tblCellMar>
        <w:tblLook w:val="04A0" w:firstRow="1" w:lastRow="0" w:firstColumn="1" w:lastColumn="0" w:noHBand="0" w:noVBand="1"/>
      </w:tblPr>
      <w:tblGrid>
        <w:gridCol w:w="4429"/>
        <w:gridCol w:w="953"/>
        <w:gridCol w:w="992"/>
        <w:gridCol w:w="1134"/>
        <w:gridCol w:w="1276"/>
        <w:gridCol w:w="1134"/>
        <w:gridCol w:w="898"/>
        <w:gridCol w:w="94"/>
        <w:gridCol w:w="996"/>
        <w:gridCol w:w="1090"/>
      </w:tblGrid>
      <w:tr w:rsidR="00D90DCD" w:rsidRPr="00583F34" w14:paraId="7BFC63E4" w14:textId="77777777" w:rsidTr="00ED5C64">
        <w:trPr>
          <w:trHeight w:val="20"/>
        </w:trPr>
        <w:tc>
          <w:tcPr>
            <w:tcW w:w="4429" w:type="dxa"/>
            <w:tcBorders>
              <w:top w:val="single" w:sz="4" w:space="0" w:color="auto"/>
              <w:left w:val="single" w:sz="4" w:space="0" w:color="auto"/>
              <w:bottom w:val="single" w:sz="4" w:space="0" w:color="auto"/>
              <w:right w:val="single" w:sz="4" w:space="0" w:color="auto"/>
            </w:tcBorders>
            <w:shd w:val="clear" w:color="000000" w:fill="1F4E78"/>
            <w:vAlign w:val="center"/>
            <w:hideMark/>
          </w:tcPr>
          <w:p w14:paraId="5E832640" w14:textId="77777777" w:rsidR="00D90DCD" w:rsidRPr="00ED5C64" w:rsidRDefault="00D90DCD" w:rsidP="00410CC9">
            <w:pPr>
              <w:spacing w:after="0" w:line="240" w:lineRule="auto"/>
              <w:jc w:val="center"/>
              <w:rPr>
                <w:rFonts w:ascii="Book Antiqua" w:eastAsia="Times New Roman" w:hAnsi="Book Antiqua" w:cs="Times New Roman"/>
                <w:b/>
                <w:bCs/>
                <w:color w:val="FFFFFF"/>
                <w:sz w:val="16"/>
                <w:szCs w:val="16"/>
                <w:lang w:eastAsia="es-CR"/>
              </w:rPr>
            </w:pPr>
            <w:r w:rsidRPr="00ED5C64">
              <w:rPr>
                <w:rFonts w:ascii="Book Antiqua" w:eastAsia="Times New Roman" w:hAnsi="Book Antiqua" w:cs="Times New Roman"/>
                <w:b/>
                <w:bCs/>
                <w:color w:val="FFFFFF"/>
                <w:sz w:val="16"/>
                <w:szCs w:val="16"/>
                <w:lang w:eastAsia="es-CR"/>
              </w:rPr>
              <w:t xml:space="preserve">Despacho </w:t>
            </w:r>
          </w:p>
        </w:tc>
        <w:tc>
          <w:tcPr>
            <w:tcW w:w="953" w:type="dxa"/>
            <w:tcBorders>
              <w:top w:val="single" w:sz="4" w:space="0" w:color="auto"/>
              <w:left w:val="nil"/>
              <w:bottom w:val="single" w:sz="4" w:space="0" w:color="auto"/>
              <w:right w:val="single" w:sz="4" w:space="0" w:color="auto"/>
            </w:tcBorders>
            <w:shd w:val="clear" w:color="000000" w:fill="548235"/>
            <w:vAlign w:val="center"/>
            <w:hideMark/>
          </w:tcPr>
          <w:p w14:paraId="685F5A83" w14:textId="77777777" w:rsidR="00D90DCD" w:rsidRPr="00ED5C64" w:rsidRDefault="00D90DCD" w:rsidP="00410CC9">
            <w:pPr>
              <w:spacing w:after="0" w:line="240" w:lineRule="auto"/>
              <w:jc w:val="center"/>
              <w:rPr>
                <w:rFonts w:ascii="Book Antiqua" w:eastAsia="Times New Roman" w:hAnsi="Book Antiqua" w:cs="Times New Roman"/>
                <w:b/>
                <w:bCs/>
                <w:color w:val="FFFFFF"/>
                <w:sz w:val="16"/>
                <w:szCs w:val="16"/>
                <w:lang w:eastAsia="es-CR"/>
              </w:rPr>
            </w:pPr>
            <w:r w:rsidRPr="00ED5C64">
              <w:rPr>
                <w:rFonts w:ascii="Book Antiqua" w:eastAsia="Times New Roman" w:hAnsi="Book Antiqua" w:cs="Times New Roman"/>
                <w:b/>
                <w:bCs/>
                <w:color w:val="FFFFFF"/>
                <w:sz w:val="16"/>
                <w:szCs w:val="16"/>
                <w:lang w:eastAsia="es-CR"/>
              </w:rPr>
              <w:t xml:space="preserve">Materia </w:t>
            </w:r>
          </w:p>
        </w:tc>
        <w:tc>
          <w:tcPr>
            <w:tcW w:w="992" w:type="dxa"/>
            <w:tcBorders>
              <w:top w:val="single" w:sz="4" w:space="0" w:color="auto"/>
              <w:left w:val="nil"/>
              <w:bottom w:val="single" w:sz="4" w:space="0" w:color="auto"/>
              <w:right w:val="single" w:sz="4" w:space="0" w:color="auto"/>
            </w:tcBorders>
            <w:shd w:val="clear" w:color="000000" w:fill="548235"/>
            <w:vAlign w:val="center"/>
            <w:hideMark/>
          </w:tcPr>
          <w:p w14:paraId="2D2037B2" w14:textId="77777777" w:rsidR="00D90DCD" w:rsidRPr="00ED5C64" w:rsidRDefault="00D90DCD" w:rsidP="00410CC9">
            <w:pPr>
              <w:spacing w:after="0" w:line="240" w:lineRule="auto"/>
              <w:jc w:val="center"/>
              <w:rPr>
                <w:rFonts w:ascii="Book Antiqua" w:eastAsia="Times New Roman" w:hAnsi="Book Antiqua" w:cs="Times New Roman"/>
                <w:b/>
                <w:bCs/>
                <w:color w:val="FFFFFF"/>
                <w:sz w:val="16"/>
                <w:szCs w:val="16"/>
                <w:lang w:eastAsia="es-CR"/>
              </w:rPr>
            </w:pPr>
            <w:r w:rsidRPr="00ED5C64">
              <w:rPr>
                <w:rFonts w:ascii="Book Antiqua" w:eastAsia="Times New Roman" w:hAnsi="Book Antiqua" w:cs="Times New Roman"/>
                <w:b/>
                <w:bCs/>
                <w:color w:val="FFFFFF"/>
                <w:sz w:val="16"/>
                <w:szCs w:val="16"/>
                <w:lang w:eastAsia="es-CR"/>
              </w:rPr>
              <w:t xml:space="preserve">Total de terminados 2018-2019 por materia   </w:t>
            </w:r>
          </w:p>
        </w:tc>
        <w:tc>
          <w:tcPr>
            <w:tcW w:w="1134" w:type="dxa"/>
            <w:tcBorders>
              <w:top w:val="single" w:sz="4" w:space="0" w:color="auto"/>
              <w:left w:val="nil"/>
              <w:bottom w:val="single" w:sz="4" w:space="0" w:color="auto"/>
              <w:right w:val="single" w:sz="4" w:space="0" w:color="auto"/>
            </w:tcBorders>
            <w:shd w:val="clear" w:color="000000" w:fill="548235"/>
            <w:vAlign w:val="center"/>
            <w:hideMark/>
          </w:tcPr>
          <w:p w14:paraId="480574EA" w14:textId="77777777" w:rsidR="00D90DCD" w:rsidRPr="00ED5C64" w:rsidRDefault="00D90DCD" w:rsidP="00410CC9">
            <w:pPr>
              <w:spacing w:after="0" w:line="240" w:lineRule="auto"/>
              <w:jc w:val="center"/>
              <w:rPr>
                <w:rFonts w:ascii="Book Antiqua" w:eastAsia="Times New Roman" w:hAnsi="Book Antiqua" w:cs="Times New Roman"/>
                <w:b/>
                <w:bCs/>
                <w:color w:val="FFFFFF"/>
                <w:sz w:val="16"/>
                <w:szCs w:val="16"/>
                <w:lang w:eastAsia="es-CR"/>
              </w:rPr>
            </w:pPr>
            <w:r w:rsidRPr="00ED5C64">
              <w:rPr>
                <w:rFonts w:ascii="Book Antiqua" w:eastAsia="Times New Roman" w:hAnsi="Book Antiqua" w:cs="Times New Roman"/>
                <w:b/>
                <w:bCs/>
                <w:color w:val="FFFFFF"/>
                <w:sz w:val="16"/>
                <w:szCs w:val="16"/>
                <w:lang w:eastAsia="es-CR"/>
              </w:rPr>
              <w:t xml:space="preserve">Total de terminados </w:t>
            </w:r>
          </w:p>
        </w:tc>
        <w:tc>
          <w:tcPr>
            <w:tcW w:w="1276" w:type="dxa"/>
            <w:tcBorders>
              <w:top w:val="single" w:sz="4" w:space="0" w:color="auto"/>
              <w:left w:val="nil"/>
              <w:bottom w:val="single" w:sz="4" w:space="0" w:color="auto"/>
              <w:right w:val="single" w:sz="4" w:space="0" w:color="auto"/>
            </w:tcBorders>
            <w:shd w:val="clear" w:color="000000" w:fill="548235"/>
            <w:vAlign w:val="center"/>
            <w:hideMark/>
          </w:tcPr>
          <w:p w14:paraId="14631944" w14:textId="77777777" w:rsidR="00D90DCD" w:rsidRPr="00ED5C64" w:rsidRDefault="00D90DCD" w:rsidP="00410CC9">
            <w:pPr>
              <w:spacing w:after="0" w:line="240" w:lineRule="auto"/>
              <w:jc w:val="center"/>
              <w:rPr>
                <w:rFonts w:ascii="Book Antiqua" w:eastAsia="Times New Roman" w:hAnsi="Book Antiqua" w:cs="Times New Roman"/>
                <w:b/>
                <w:bCs/>
                <w:color w:val="FFFFFF"/>
                <w:sz w:val="16"/>
                <w:szCs w:val="16"/>
                <w:lang w:eastAsia="es-CR"/>
              </w:rPr>
            </w:pPr>
            <w:r w:rsidRPr="00ED5C64">
              <w:rPr>
                <w:rFonts w:ascii="Book Antiqua" w:eastAsia="Times New Roman" w:hAnsi="Book Antiqua" w:cs="Times New Roman"/>
                <w:b/>
                <w:bCs/>
                <w:color w:val="FFFFFF"/>
                <w:sz w:val="16"/>
                <w:szCs w:val="16"/>
                <w:lang w:eastAsia="es-CR"/>
              </w:rPr>
              <w:t xml:space="preserve">Colaboración brindada por parte de CAMFJ 2018-2019 </w:t>
            </w:r>
          </w:p>
        </w:tc>
        <w:tc>
          <w:tcPr>
            <w:tcW w:w="1134" w:type="dxa"/>
            <w:tcBorders>
              <w:top w:val="single" w:sz="4" w:space="0" w:color="auto"/>
              <w:left w:val="nil"/>
              <w:bottom w:val="single" w:sz="4" w:space="0" w:color="auto"/>
              <w:right w:val="single" w:sz="4" w:space="0" w:color="auto"/>
            </w:tcBorders>
            <w:shd w:val="clear" w:color="000000" w:fill="1F4E78"/>
            <w:vAlign w:val="center"/>
            <w:hideMark/>
          </w:tcPr>
          <w:p w14:paraId="38CCFA87" w14:textId="77777777" w:rsidR="00D90DCD" w:rsidRPr="00ED5C64" w:rsidRDefault="00D90DCD" w:rsidP="00410CC9">
            <w:pPr>
              <w:spacing w:after="0" w:line="240" w:lineRule="auto"/>
              <w:jc w:val="center"/>
              <w:rPr>
                <w:rFonts w:ascii="Book Antiqua" w:eastAsia="Times New Roman" w:hAnsi="Book Antiqua" w:cs="Times New Roman"/>
                <w:b/>
                <w:bCs/>
                <w:color w:val="FFFFFF"/>
                <w:sz w:val="16"/>
                <w:szCs w:val="16"/>
                <w:lang w:eastAsia="es-CR"/>
              </w:rPr>
            </w:pPr>
            <w:r w:rsidRPr="00ED5C64">
              <w:rPr>
                <w:rFonts w:ascii="Book Antiqua" w:eastAsia="Times New Roman" w:hAnsi="Book Antiqua" w:cs="Times New Roman"/>
                <w:b/>
                <w:bCs/>
                <w:color w:val="FFFFFF"/>
                <w:sz w:val="16"/>
                <w:szCs w:val="16"/>
                <w:lang w:eastAsia="es-CR"/>
              </w:rPr>
              <w:t xml:space="preserve">Total de terminados real de la oficina </w:t>
            </w:r>
          </w:p>
        </w:tc>
        <w:tc>
          <w:tcPr>
            <w:tcW w:w="992" w:type="dxa"/>
            <w:gridSpan w:val="2"/>
            <w:tcBorders>
              <w:top w:val="single" w:sz="4" w:space="0" w:color="auto"/>
              <w:left w:val="nil"/>
              <w:bottom w:val="single" w:sz="4" w:space="0" w:color="auto"/>
              <w:right w:val="single" w:sz="4" w:space="0" w:color="auto"/>
            </w:tcBorders>
            <w:shd w:val="clear" w:color="000000" w:fill="1F4E78"/>
            <w:vAlign w:val="center"/>
            <w:hideMark/>
          </w:tcPr>
          <w:p w14:paraId="2AB3E90E" w14:textId="77777777" w:rsidR="00D90DCD" w:rsidRPr="00ED5C64" w:rsidRDefault="00D90DCD" w:rsidP="00410CC9">
            <w:pPr>
              <w:spacing w:after="0" w:line="240" w:lineRule="auto"/>
              <w:jc w:val="center"/>
              <w:rPr>
                <w:rFonts w:ascii="Book Antiqua" w:eastAsia="Times New Roman" w:hAnsi="Book Antiqua" w:cs="Times New Roman"/>
                <w:b/>
                <w:bCs/>
                <w:color w:val="FFFFFF"/>
                <w:sz w:val="16"/>
                <w:szCs w:val="16"/>
                <w:lang w:eastAsia="es-CR"/>
              </w:rPr>
            </w:pPr>
            <w:r w:rsidRPr="00ED5C64">
              <w:rPr>
                <w:rFonts w:ascii="Book Antiqua" w:eastAsia="Times New Roman" w:hAnsi="Book Antiqua" w:cs="Times New Roman"/>
                <w:b/>
                <w:bCs/>
                <w:color w:val="FFFFFF"/>
                <w:sz w:val="16"/>
                <w:szCs w:val="16"/>
                <w:lang w:eastAsia="es-CR"/>
              </w:rPr>
              <w:t xml:space="preserve">Cantidad de personas juzgadoras </w:t>
            </w:r>
          </w:p>
        </w:tc>
        <w:tc>
          <w:tcPr>
            <w:tcW w:w="996" w:type="dxa"/>
            <w:tcBorders>
              <w:top w:val="single" w:sz="4" w:space="0" w:color="auto"/>
              <w:left w:val="nil"/>
              <w:bottom w:val="single" w:sz="4" w:space="0" w:color="auto"/>
              <w:right w:val="single" w:sz="4" w:space="0" w:color="auto"/>
            </w:tcBorders>
            <w:shd w:val="clear" w:color="000000" w:fill="1F4E78"/>
            <w:vAlign w:val="center"/>
            <w:hideMark/>
          </w:tcPr>
          <w:p w14:paraId="53009A06" w14:textId="6F14FC46" w:rsidR="00D90DCD" w:rsidRPr="00ED5C64" w:rsidRDefault="00550041" w:rsidP="00410CC9">
            <w:pPr>
              <w:spacing w:after="0" w:line="240" w:lineRule="auto"/>
              <w:jc w:val="center"/>
              <w:rPr>
                <w:rFonts w:ascii="Book Antiqua" w:eastAsia="Times New Roman" w:hAnsi="Book Antiqua" w:cs="Times New Roman"/>
                <w:b/>
                <w:bCs/>
                <w:color w:val="FFFFFF"/>
                <w:sz w:val="16"/>
                <w:szCs w:val="16"/>
                <w:lang w:eastAsia="es-CR"/>
              </w:rPr>
            </w:pPr>
            <w:r w:rsidRPr="00ED5C64">
              <w:rPr>
                <w:rFonts w:ascii="Book Antiqua" w:eastAsia="Times New Roman" w:hAnsi="Book Antiqua" w:cs="Times New Roman"/>
                <w:b/>
                <w:bCs/>
                <w:color w:val="FFFFFF"/>
                <w:sz w:val="16"/>
                <w:szCs w:val="16"/>
                <w:lang w:eastAsia="es-CR"/>
              </w:rPr>
              <w:t>*</w:t>
            </w:r>
            <w:r w:rsidR="00D90DCD" w:rsidRPr="00ED5C64">
              <w:rPr>
                <w:rFonts w:ascii="Book Antiqua" w:eastAsia="Times New Roman" w:hAnsi="Book Antiqua" w:cs="Times New Roman"/>
                <w:b/>
                <w:bCs/>
                <w:color w:val="FFFFFF"/>
                <w:sz w:val="16"/>
                <w:szCs w:val="16"/>
                <w:lang w:eastAsia="es-CR"/>
              </w:rPr>
              <w:t xml:space="preserve">Asuntos terminados por mes por persona juzgadora </w:t>
            </w:r>
          </w:p>
        </w:tc>
        <w:tc>
          <w:tcPr>
            <w:tcW w:w="1090" w:type="dxa"/>
            <w:tcBorders>
              <w:top w:val="single" w:sz="4" w:space="0" w:color="auto"/>
              <w:left w:val="nil"/>
              <w:bottom w:val="single" w:sz="4" w:space="0" w:color="auto"/>
              <w:right w:val="single" w:sz="4" w:space="0" w:color="auto"/>
            </w:tcBorders>
            <w:shd w:val="clear" w:color="000000" w:fill="1F4E78"/>
            <w:vAlign w:val="center"/>
            <w:hideMark/>
          </w:tcPr>
          <w:p w14:paraId="5921AD26" w14:textId="0AC27890" w:rsidR="00D90DCD" w:rsidRPr="00ED5C64" w:rsidRDefault="00550041" w:rsidP="00410CC9">
            <w:pPr>
              <w:spacing w:after="0" w:line="240" w:lineRule="auto"/>
              <w:jc w:val="center"/>
              <w:rPr>
                <w:rFonts w:ascii="Book Antiqua" w:eastAsia="Times New Roman" w:hAnsi="Book Antiqua" w:cs="Times New Roman"/>
                <w:b/>
                <w:bCs/>
                <w:color w:val="FFFFFF"/>
                <w:sz w:val="16"/>
                <w:szCs w:val="16"/>
                <w:lang w:eastAsia="es-CR"/>
              </w:rPr>
            </w:pPr>
            <w:r w:rsidRPr="00ED5C64">
              <w:rPr>
                <w:rFonts w:ascii="Book Antiqua" w:eastAsia="Times New Roman" w:hAnsi="Book Antiqua" w:cs="Times New Roman"/>
                <w:b/>
                <w:bCs/>
                <w:color w:val="FFFFFF"/>
                <w:sz w:val="16"/>
                <w:szCs w:val="16"/>
                <w:lang w:eastAsia="es-CR"/>
              </w:rPr>
              <w:t>*</w:t>
            </w:r>
            <w:r w:rsidR="00D90DCD" w:rsidRPr="00ED5C64">
              <w:rPr>
                <w:rFonts w:ascii="Book Antiqua" w:eastAsia="Times New Roman" w:hAnsi="Book Antiqua" w:cs="Times New Roman"/>
                <w:b/>
                <w:bCs/>
                <w:color w:val="FFFFFF"/>
                <w:sz w:val="16"/>
                <w:szCs w:val="16"/>
                <w:lang w:eastAsia="es-CR"/>
              </w:rPr>
              <w:t xml:space="preserve">Total de asuntos terminados por mes por persona juzgadora </w:t>
            </w:r>
          </w:p>
        </w:tc>
      </w:tr>
      <w:tr w:rsidR="00D90DCD" w:rsidRPr="00583F34" w14:paraId="37DE78CF" w14:textId="77777777" w:rsidTr="00ED5C64">
        <w:trPr>
          <w:trHeight w:val="20"/>
        </w:trPr>
        <w:tc>
          <w:tcPr>
            <w:tcW w:w="4429" w:type="dxa"/>
            <w:vMerge w:val="restart"/>
            <w:tcBorders>
              <w:top w:val="double" w:sz="6" w:space="0" w:color="1F497D"/>
              <w:left w:val="double" w:sz="6" w:space="0" w:color="1F497D"/>
              <w:bottom w:val="double" w:sz="6" w:space="0" w:color="1F497D"/>
              <w:right w:val="double" w:sz="6" w:space="0" w:color="1F497D"/>
            </w:tcBorders>
            <w:shd w:val="clear" w:color="000000" w:fill="DCE6F1"/>
            <w:noWrap/>
            <w:vAlign w:val="center"/>
            <w:hideMark/>
          </w:tcPr>
          <w:p w14:paraId="1C9120E9" w14:textId="77777777" w:rsidR="00D90DCD" w:rsidRPr="00302589" w:rsidRDefault="00D90DCD" w:rsidP="00410CC9">
            <w:pPr>
              <w:spacing w:after="0" w:line="240" w:lineRule="auto"/>
              <w:rPr>
                <w:rFonts w:ascii="Book Antiqua" w:eastAsia="Times New Roman" w:hAnsi="Book Antiqua" w:cs="Times New Roman"/>
                <w:color w:val="000000"/>
                <w:sz w:val="20"/>
                <w:szCs w:val="20"/>
                <w:lang w:eastAsia="es-CR"/>
              </w:rPr>
            </w:pPr>
            <w:r w:rsidRPr="00302589">
              <w:rPr>
                <w:rFonts w:ascii="Book Antiqua" w:eastAsia="Times New Roman" w:hAnsi="Book Antiqua" w:cs="Times New Roman"/>
                <w:color w:val="000000"/>
                <w:sz w:val="20"/>
                <w:szCs w:val="20"/>
                <w:lang w:eastAsia="es-CR"/>
              </w:rPr>
              <w:t xml:space="preserve">Tribunal De Apelación Civil Y Trabajo Alajuela </w:t>
            </w:r>
          </w:p>
        </w:tc>
        <w:tc>
          <w:tcPr>
            <w:tcW w:w="953" w:type="dxa"/>
            <w:tcBorders>
              <w:top w:val="nil"/>
              <w:left w:val="nil"/>
              <w:bottom w:val="double" w:sz="6" w:space="0" w:color="1F497D"/>
              <w:right w:val="double" w:sz="6" w:space="0" w:color="1F497D"/>
            </w:tcBorders>
            <w:shd w:val="clear" w:color="000000" w:fill="DCE6F1"/>
            <w:vAlign w:val="center"/>
            <w:hideMark/>
          </w:tcPr>
          <w:p w14:paraId="06A84086" w14:textId="77777777" w:rsidR="00D90DCD" w:rsidRPr="00FC7FC4" w:rsidRDefault="00D90DCD" w:rsidP="00410CC9">
            <w:pPr>
              <w:spacing w:after="0" w:line="240" w:lineRule="auto"/>
              <w:jc w:val="right"/>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 xml:space="preserve">Civil </w:t>
            </w:r>
          </w:p>
        </w:tc>
        <w:tc>
          <w:tcPr>
            <w:tcW w:w="992" w:type="dxa"/>
            <w:tcBorders>
              <w:top w:val="nil"/>
              <w:left w:val="nil"/>
              <w:bottom w:val="double" w:sz="6" w:space="0" w:color="1F497D"/>
              <w:right w:val="double" w:sz="6" w:space="0" w:color="1F497D"/>
            </w:tcBorders>
            <w:shd w:val="clear" w:color="000000" w:fill="DCE6F1"/>
            <w:noWrap/>
            <w:vAlign w:val="center"/>
            <w:hideMark/>
          </w:tcPr>
          <w:p w14:paraId="7FBFF8CB" w14:textId="77777777" w:rsidR="00D90DCD" w:rsidRPr="00FC7FC4" w:rsidRDefault="00D90DCD" w:rsidP="00410CC9">
            <w:pPr>
              <w:spacing w:after="0" w:line="240" w:lineRule="auto"/>
              <w:jc w:val="center"/>
              <w:rPr>
                <w:rFonts w:ascii="Book Antiqua" w:eastAsia="Times New Roman" w:hAnsi="Book Antiqua" w:cs="Times New Roman"/>
                <w:color w:val="000000"/>
                <w:sz w:val="20"/>
                <w:szCs w:val="20"/>
                <w:lang w:eastAsia="es-CR"/>
              </w:rPr>
            </w:pPr>
            <w:r w:rsidRPr="00FC7FC4">
              <w:rPr>
                <w:rFonts w:ascii="Book Antiqua" w:eastAsia="Times New Roman" w:hAnsi="Book Antiqua" w:cs="Times New Roman"/>
                <w:color w:val="000000"/>
                <w:sz w:val="20"/>
                <w:szCs w:val="20"/>
                <w:lang w:eastAsia="es-CR"/>
              </w:rPr>
              <w:t>2301</w:t>
            </w:r>
          </w:p>
        </w:tc>
        <w:tc>
          <w:tcPr>
            <w:tcW w:w="1134" w:type="dxa"/>
            <w:vMerge w:val="restart"/>
            <w:tcBorders>
              <w:top w:val="double" w:sz="6" w:space="0" w:color="1F497D"/>
              <w:left w:val="double" w:sz="6" w:space="0" w:color="1F497D"/>
              <w:bottom w:val="double" w:sz="6" w:space="0" w:color="1F497D"/>
              <w:right w:val="double" w:sz="6" w:space="0" w:color="1F497D"/>
            </w:tcBorders>
            <w:shd w:val="clear" w:color="000000" w:fill="DCE6F1"/>
            <w:noWrap/>
            <w:vAlign w:val="center"/>
            <w:hideMark/>
          </w:tcPr>
          <w:p w14:paraId="02B872B8" w14:textId="77777777" w:rsidR="00D90DCD" w:rsidRPr="00FC7FC4" w:rsidRDefault="00D90DCD" w:rsidP="00410CC9">
            <w:pPr>
              <w:spacing w:after="0" w:line="240" w:lineRule="auto"/>
              <w:jc w:val="center"/>
              <w:rPr>
                <w:rFonts w:ascii="Book Antiqua" w:eastAsia="Times New Roman" w:hAnsi="Book Antiqua" w:cs="Times New Roman"/>
                <w:color w:val="000000"/>
                <w:sz w:val="20"/>
                <w:szCs w:val="20"/>
                <w:lang w:eastAsia="es-CR"/>
              </w:rPr>
            </w:pPr>
            <w:r w:rsidRPr="00FC7FC4">
              <w:rPr>
                <w:rFonts w:ascii="Book Antiqua" w:eastAsia="Times New Roman" w:hAnsi="Book Antiqua" w:cs="Times New Roman"/>
                <w:color w:val="000000"/>
                <w:sz w:val="20"/>
                <w:szCs w:val="20"/>
                <w:lang w:eastAsia="es-CR"/>
              </w:rPr>
              <w:t>3904</w:t>
            </w:r>
          </w:p>
        </w:tc>
        <w:tc>
          <w:tcPr>
            <w:tcW w:w="1276" w:type="dxa"/>
            <w:tcBorders>
              <w:top w:val="nil"/>
              <w:left w:val="nil"/>
              <w:bottom w:val="double" w:sz="6" w:space="0" w:color="1F497D"/>
              <w:right w:val="double" w:sz="6" w:space="0" w:color="1F497D"/>
            </w:tcBorders>
            <w:shd w:val="clear" w:color="000000" w:fill="DCE6F1"/>
            <w:noWrap/>
            <w:vAlign w:val="center"/>
            <w:hideMark/>
          </w:tcPr>
          <w:p w14:paraId="7915B0C4" w14:textId="77777777" w:rsidR="00D90DCD" w:rsidRPr="00FC7FC4" w:rsidRDefault="00D90DCD" w:rsidP="00410CC9">
            <w:pPr>
              <w:spacing w:after="0" w:line="240" w:lineRule="auto"/>
              <w:jc w:val="center"/>
              <w:rPr>
                <w:rFonts w:ascii="Book Antiqua" w:eastAsia="Times New Roman" w:hAnsi="Book Antiqua" w:cs="Times New Roman"/>
                <w:b/>
                <w:bCs/>
                <w:color w:val="000000"/>
                <w:sz w:val="20"/>
                <w:szCs w:val="20"/>
                <w:lang w:eastAsia="es-CR"/>
              </w:rPr>
            </w:pPr>
            <w:r w:rsidRPr="00FC7FC4">
              <w:rPr>
                <w:rFonts w:ascii="Book Antiqua" w:eastAsia="Times New Roman" w:hAnsi="Book Antiqua" w:cs="Times New Roman"/>
                <w:b/>
                <w:bCs/>
                <w:color w:val="000000"/>
                <w:sz w:val="20"/>
                <w:szCs w:val="20"/>
                <w:lang w:eastAsia="es-CR"/>
              </w:rPr>
              <w:t>335</w:t>
            </w:r>
          </w:p>
        </w:tc>
        <w:tc>
          <w:tcPr>
            <w:tcW w:w="1134" w:type="dxa"/>
            <w:tcBorders>
              <w:top w:val="nil"/>
              <w:left w:val="nil"/>
              <w:bottom w:val="double" w:sz="6" w:space="0" w:color="1F497D"/>
              <w:right w:val="double" w:sz="6" w:space="0" w:color="1F497D"/>
            </w:tcBorders>
            <w:shd w:val="clear" w:color="000000" w:fill="DCE6F1"/>
            <w:noWrap/>
            <w:vAlign w:val="center"/>
            <w:hideMark/>
          </w:tcPr>
          <w:p w14:paraId="502B4AB0" w14:textId="77777777" w:rsidR="00D90DCD" w:rsidRPr="00FC7FC4"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1966</w:t>
            </w:r>
          </w:p>
        </w:tc>
        <w:tc>
          <w:tcPr>
            <w:tcW w:w="898" w:type="dxa"/>
            <w:vMerge w:val="restart"/>
            <w:tcBorders>
              <w:top w:val="double" w:sz="6" w:space="0" w:color="1F497D"/>
              <w:left w:val="double" w:sz="6" w:space="0" w:color="1F497D"/>
              <w:bottom w:val="double" w:sz="6" w:space="0" w:color="1F497D"/>
              <w:right w:val="double" w:sz="6" w:space="0" w:color="1F497D"/>
            </w:tcBorders>
            <w:shd w:val="clear" w:color="000000" w:fill="DCE6F1"/>
            <w:noWrap/>
            <w:vAlign w:val="center"/>
            <w:hideMark/>
          </w:tcPr>
          <w:p w14:paraId="27DD19AE" w14:textId="77777777" w:rsidR="00D90DCD" w:rsidRPr="003A32B1" w:rsidRDefault="00D90DCD" w:rsidP="00410CC9">
            <w:pPr>
              <w:spacing w:after="0" w:line="240" w:lineRule="auto"/>
              <w:jc w:val="center"/>
              <w:rPr>
                <w:rFonts w:ascii="Book Antiqua" w:eastAsia="Times New Roman" w:hAnsi="Book Antiqua" w:cs="Times New Roman"/>
                <w:color w:val="000000"/>
                <w:sz w:val="20"/>
                <w:szCs w:val="20"/>
                <w:lang w:eastAsia="es-CR"/>
              </w:rPr>
            </w:pPr>
            <w:r w:rsidRPr="003A32B1">
              <w:rPr>
                <w:rFonts w:ascii="Book Antiqua" w:eastAsia="Times New Roman" w:hAnsi="Book Antiqua" w:cs="Times New Roman"/>
                <w:color w:val="000000"/>
                <w:sz w:val="20"/>
                <w:szCs w:val="20"/>
                <w:lang w:eastAsia="es-CR"/>
              </w:rPr>
              <w:t>6</w:t>
            </w:r>
          </w:p>
        </w:tc>
        <w:tc>
          <w:tcPr>
            <w:tcW w:w="1090" w:type="dxa"/>
            <w:gridSpan w:val="2"/>
            <w:tcBorders>
              <w:top w:val="nil"/>
              <w:left w:val="nil"/>
              <w:bottom w:val="double" w:sz="6" w:space="0" w:color="1F497D"/>
              <w:right w:val="double" w:sz="6" w:space="0" w:color="1F497D"/>
            </w:tcBorders>
            <w:shd w:val="clear" w:color="000000" w:fill="DCE6F1"/>
            <w:vAlign w:val="center"/>
            <w:hideMark/>
          </w:tcPr>
          <w:p w14:paraId="682EF695" w14:textId="77777777" w:rsidR="00D90DCD" w:rsidRPr="003A32B1"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3A32B1">
              <w:rPr>
                <w:rFonts w:ascii="Book Antiqua" w:eastAsia="Times New Roman" w:hAnsi="Book Antiqua" w:cs="Times New Roman"/>
                <w:b/>
                <w:bCs/>
                <w:i/>
                <w:iCs/>
                <w:color w:val="000000"/>
                <w:sz w:val="20"/>
                <w:szCs w:val="20"/>
                <w:lang w:eastAsia="es-CR"/>
              </w:rPr>
              <w:t>15</w:t>
            </w:r>
          </w:p>
        </w:tc>
        <w:tc>
          <w:tcPr>
            <w:tcW w:w="1090" w:type="dxa"/>
            <w:vMerge w:val="restart"/>
            <w:tcBorders>
              <w:top w:val="double" w:sz="6" w:space="0" w:color="1F497D"/>
              <w:left w:val="double" w:sz="6" w:space="0" w:color="1F497D"/>
              <w:bottom w:val="double" w:sz="6" w:space="0" w:color="1F497D"/>
              <w:right w:val="double" w:sz="6" w:space="0" w:color="1F497D"/>
            </w:tcBorders>
            <w:shd w:val="clear" w:color="000000" w:fill="DCE6F1"/>
            <w:noWrap/>
            <w:vAlign w:val="center"/>
            <w:hideMark/>
          </w:tcPr>
          <w:p w14:paraId="6CB6B22E" w14:textId="2DC58B22" w:rsidR="00D90DCD" w:rsidRPr="003A32B1" w:rsidRDefault="00D90DCD" w:rsidP="00410CC9">
            <w:pPr>
              <w:spacing w:after="0" w:line="240" w:lineRule="auto"/>
              <w:jc w:val="center"/>
              <w:rPr>
                <w:rFonts w:ascii="Book Antiqua" w:eastAsia="Times New Roman" w:hAnsi="Book Antiqua" w:cs="Times New Roman"/>
                <w:color w:val="000000"/>
                <w:sz w:val="20"/>
                <w:szCs w:val="20"/>
                <w:lang w:eastAsia="es-CR"/>
              </w:rPr>
            </w:pPr>
            <w:r w:rsidRPr="003A32B1">
              <w:rPr>
                <w:rFonts w:ascii="Book Antiqua" w:eastAsia="Times New Roman" w:hAnsi="Book Antiqua" w:cs="Times New Roman"/>
                <w:color w:val="000000"/>
                <w:sz w:val="20"/>
                <w:szCs w:val="20"/>
                <w:lang w:eastAsia="es-CR"/>
              </w:rPr>
              <w:t>2</w:t>
            </w:r>
            <w:r w:rsidR="008328E6">
              <w:rPr>
                <w:rFonts w:ascii="Book Antiqua" w:eastAsia="Times New Roman" w:hAnsi="Book Antiqua" w:cs="Times New Roman"/>
                <w:color w:val="000000"/>
                <w:sz w:val="20"/>
                <w:szCs w:val="20"/>
                <w:lang w:eastAsia="es-CR"/>
              </w:rPr>
              <w:t>3</w:t>
            </w:r>
          </w:p>
        </w:tc>
      </w:tr>
      <w:tr w:rsidR="00D90DCD" w:rsidRPr="00583F34" w14:paraId="51E8CC48" w14:textId="77777777" w:rsidTr="00ED5C64">
        <w:trPr>
          <w:trHeight w:val="20"/>
        </w:trPr>
        <w:tc>
          <w:tcPr>
            <w:tcW w:w="4429" w:type="dxa"/>
            <w:vMerge/>
            <w:tcBorders>
              <w:top w:val="double" w:sz="6" w:space="0" w:color="1F497D"/>
              <w:left w:val="double" w:sz="6" w:space="0" w:color="1F497D"/>
              <w:bottom w:val="double" w:sz="6" w:space="0" w:color="1F497D"/>
              <w:right w:val="double" w:sz="6" w:space="0" w:color="1F497D"/>
            </w:tcBorders>
            <w:vAlign w:val="center"/>
            <w:hideMark/>
          </w:tcPr>
          <w:p w14:paraId="6CCD7ED4" w14:textId="77777777" w:rsidR="00D90DCD" w:rsidRPr="00FC7FC4" w:rsidRDefault="00D90DCD" w:rsidP="00410CC9">
            <w:pPr>
              <w:spacing w:after="0" w:line="240" w:lineRule="auto"/>
              <w:rPr>
                <w:rFonts w:ascii="Book Antiqua" w:eastAsia="Times New Roman" w:hAnsi="Book Antiqua" w:cs="Times New Roman"/>
                <w:color w:val="000000"/>
                <w:sz w:val="20"/>
                <w:szCs w:val="20"/>
                <w:lang w:eastAsia="es-CR"/>
              </w:rPr>
            </w:pPr>
          </w:p>
        </w:tc>
        <w:tc>
          <w:tcPr>
            <w:tcW w:w="953" w:type="dxa"/>
            <w:tcBorders>
              <w:top w:val="nil"/>
              <w:left w:val="nil"/>
              <w:bottom w:val="double" w:sz="6" w:space="0" w:color="1F497D"/>
              <w:right w:val="double" w:sz="6" w:space="0" w:color="1F497D"/>
            </w:tcBorders>
            <w:shd w:val="clear" w:color="000000" w:fill="DCE6F1"/>
            <w:vAlign w:val="center"/>
            <w:hideMark/>
          </w:tcPr>
          <w:p w14:paraId="22877EDB" w14:textId="77777777" w:rsidR="00D90DCD" w:rsidRPr="00FC7FC4" w:rsidRDefault="00D90DCD" w:rsidP="00410CC9">
            <w:pPr>
              <w:spacing w:after="0" w:line="240" w:lineRule="auto"/>
              <w:jc w:val="right"/>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 xml:space="preserve">Laboral </w:t>
            </w:r>
          </w:p>
        </w:tc>
        <w:tc>
          <w:tcPr>
            <w:tcW w:w="992" w:type="dxa"/>
            <w:tcBorders>
              <w:top w:val="nil"/>
              <w:left w:val="nil"/>
              <w:bottom w:val="double" w:sz="6" w:space="0" w:color="1F497D"/>
              <w:right w:val="double" w:sz="6" w:space="0" w:color="1F497D"/>
            </w:tcBorders>
            <w:shd w:val="clear" w:color="000000" w:fill="DCE6F1"/>
            <w:noWrap/>
            <w:vAlign w:val="center"/>
            <w:hideMark/>
          </w:tcPr>
          <w:p w14:paraId="431A6A81" w14:textId="77777777" w:rsidR="00D90DCD" w:rsidRPr="00FC7FC4" w:rsidRDefault="00D90DCD" w:rsidP="00410CC9">
            <w:pPr>
              <w:spacing w:after="0" w:line="240" w:lineRule="auto"/>
              <w:jc w:val="center"/>
              <w:rPr>
                <w:rFonts w:ascii="Book Antiqua" w:eastAsia="Times New Roman" w:hAnsi="Book Antiqua" w:cs="Times New Roman"/>
                <w:color w:val="000000"/>
                <w:sz w:val="20"/>
                <w:szCs w:val="20"/>
                <w:lang w:eastAsia="es-CR"/>
              </w:rPr>
            </w:pPr>
            <w:r w:rsidRPr="00FC7FC4">
              <w:rPr>
                <w:rFonts w:ascii="Book Antiqua" w:eastAsia="Times New Roman" w:hAnsi="Book Antiqua" w:cs="Times New Roman"/>
                <w:color w:val="000000"/>
                <w:sz w:val="20"/>
                <w:szCs w:val="20"/>
                <w:lang w:eastAsia="es-CR"/>
              </w:rPr>
              <w:t>1603</w:t>
            </w:r>
          </w:p>
        </w:tc>
        <w:tc>
          <w:tcPr>
            <w:tcW w:w="1134" w:type="dxa"/>
            <w:vMerge/>
            <w:tcBorders>
              <w:top w:val="double" w:sz="6" w:space="0" w:color="1F497D"/>
              <w:left w:val="double" w:sz="6" w:space="0" w:color="1F497D"/>
              <w:bottom w:val="double" w:sz="6" w:space="0" w:color="1F497D"/>
              <w:right w:val="double" w:sz="6" w:space="0" w:color="1F497D"/>
            </w:tcBorders>
            <w:vAlign w:val="center"/>
            <w:hideMark/>
          </w:tcPr>
          <w:p w14:paraId="6774B39F" w14:textId="77777777" w:rsidR="00D90DCD" w:rsidRPr="00FC7FC4" w:rsidRDefault="00D90DCD" w:rsidP="00410CC9">
            <w:pPr>
              <w:spacing w:after="0" w:line="240" w:lineRule="auto"/>
              <w:rPr>
                <w:rFonts w:ascii="Book Antiqua" w:eastAsia="Times New Roman" w:hAnsi="Book Antiqua" w:cs="Times New Roman"/>
                <w:color w:val="000000"/>
                <w:sz w:val="20"/>
                <w:szCs w:val="20"/>
                <w:lang w:eastAsia="es-CR"/>
              </w:rPr>
            </w:pPr>
          </w:p>
        </w:tc>
        <w:tc>
          <w:tcPr>
            <w:tcW w:w="1276" w:type="dxa"/>
            <w:tcBorders>
              <w:top w:val="nil"/>
              <w:left w:val="nil"/>
              <w:bottom w:val="double" w:sz="6" w:space="0" w:color="1F497D"/>
              <w:right w:val="double" w:sz="6" w:space="0" w:color="1F497D"/>
            </w:tcBorders>
            <w:shd w:val="clear" w:color="000000" w:fill="DCE6F1"/>
            <w:noWrap/>
            <w:vAlign w:val="center"/>
            <w:hideMark/>
          </w:tcPr>
          <w:p w14:paraId="031BD606" w14:textId="0E775B2A" w:rsidR="00D90DCD" w:rsidRPr="00302589" w:rsidRDefault="00981D58" w:rsidP="00410CC9">
            <w:pPr>
              <w:spacing w:after="0" w:line="240" w:lineRule="auto"/>
              <w:jc w:val="center"/>
              <w:rPr>
                <w:rFonts w:ascii="Book Antiqua" w:eastAsia="Times New Roman" w:hAnsi="Book Antiqua" w:cs="Times New Roman"/>
                <w:b/>
                <w:bCs/>
                <w:color w:val="000000"/>
                <w:sz w:val="20"/>
                <w:szCs w:val="20"/>
                <w:lang w:eastAsia="es-CR"/>
              </w:rPr>
            </w:pPr>
            <w:r w:rsidRPr="00EB031E">
              <w:rPr>
                <w:rFonts w:ascii="Book Antiqua" w:eastAsia="Times New Roman" w:hAnsi="Book Antiqua" w:cs="Times New Roman"/>
                <w:b/>
                <w:bCs/>
                <w:color w:val="000000"/>
                <w:sz w:val="20"/>
                <w:szCs w:val="20"/>
                <w:lang w:eastAsia="es-CR"/>
              </w:rPr>
              <w:t>438</w:t>
            </w:r>
          </w:p>
        </w:tc>
        <w:tc>
          <w:tcPr>
            <w:tcW w:w="1134" w:type="dxa"/>
            <w:tcBorders>
              <w:top w:val="nil"/>
              <w:left w:val="nil"/>
              <w:bottom w:val="double" w:sz="6" w:space="0" w:color="1F497D"/>
              <w:right w:val="double" w:sz="6" w:space="0" w:color="1F497D"/>
            </w:tcBorders>
            <w:shd w:val="clear" w:color="000000" w:fill="DCE6F1"/>
            <w:noWrap/>
            <w:vAlign w:val="center"/>
            <w:hideMark/>
          </w:tcPr>
          <w:p w14:paraId="5DEE4FF0" w14:textId="13F11C7F" w:rsidR="00D90DCD" w:rsidRPr="00FC7FC4" w:rsidRDefault="001E39DD" w:rsidP="00410CC9">
            <w:pPr>
              <w:spacing w:after="0" w:line="240" w:lineRule="auto"/>
              <w:jc w:val="center"/>
              <w:rPr>
                <w:rFonts w:ascii="Book Antiqua" w:eastAsia="Times New Roman" w:hAnsi="Book Antiqua" w:cs="Times New Roman"/>
                <w:b/>
                <w:bCs/>
                <w:i/>
                <w:iCs/>
                <w:color w:val="000000"/>
                <w:sz w:val="20"/>
                <w:szCs w:val="20"/>
                <w:lang w:eastAsia="es-CR"/>
              </w:rPr>
            </w:pPr>
            <w:r w:rsidRPr="00FF7F8F">
              <w:rPr>
                <w:rFonts w:ascii="Book Antiqua" w:eastAsia="Times New Roman" w:hAnsi="Book Antiqua" w:cs="Times New Roman"/>
                <w:b/>
                <w:bCs/>
                <w:i/>
                <w:iCs/>
                <w:color w:val="000000"/>
                <w:sz w:val="20"/>
                <w:szCs w:val="20"/>
                <w:lang w:eastAsia="es-CR"/>
              </w:rPr>
              <w:t>1165</w:t>
            </w:r>
          </w:p>
        </w:tc>
        <w:tc>
          <w:tcPr>
            <w:tcW w:w="898" w:type="dxa"/>
            <w:vMerge/>
            <w:tcBorders>
              <w:top w:val="double" w:sz="6" w:space="0" w:color="1F497D"/>
              <w:left w:val="double" w:sz="6" w:space="0" w:color="1F497D"/>
              <w:bottom w:val="double" w:sz="6" w:space="0" w:color="1F497D"/>
              <w:right w:val="double" w:sz="6" w:space="0" w:color="1F497D"/>
            </w:tcBorders>
            <w:vAlign w:val="center"/>
            <w:hideMark/>
          </w:tcPr>
          <w:p w14:paraId="1A7D8707" w14:textId="77777777" w:rsidR="00D90DCD" w:rsidRPr="003A32B1" w:rsidRDefault="00D90DCD" w:rsidP="00410CC9">
            <w:pPr>
              <w:spacing w:after="0" w:line="240" w:lineRule="auto"/>
              <w:rPr>
                <w:rFonts w:ascii="Book Antiqua" w:eastAsia="Times New Roman" w:hAnsi="Book Antiqua" w:cs="Times New Roman"/>
                <w:color w:val="000000"/>
                <w:sz w:val="20"/>
                <w:szCs w:val="20"/>
                <w:lang w:eastAsia="es-CR"/>
              </w:rPr>
            </w:pPr>
          </w:p>
        </w:tc>
        <w:tc>
          <w:tcPr>
            <w:tcW w:w="1090" w:type="dxa"/>
            <w:gridSpan w:val="2"/>
            <w:tcBorders>
              <w:top w:val="nil"/>
              <w:left w:val="nil"/>
              <w:bottom w:val="double" w:sz="6" w:space="0" w:color="1F497D"/>
              <w:right w:val="double" w:sz="6" w:space="0" w:color="1F497D"/>
            </w:tcBorders>
            <w:shd w:val="clear" w:color="000000" w:fill="DCE6F1"/>
            <w:vAlign w:val="center"/>
            <w:hideMark/>
          </w:tcPr>
          <w:p w14:paraId="5CB1E40B" w14:textId="23DEFD7E" w:rsidR="00D90DCD" w:rsidRPr="003A32B1" w:rsidRDefault="00BE1B03" w:rsidP="00410CC9">
            <w:pPr>
              <w:spacing w:after="0" w:line="240" w:lineRule="auto"/>
              <w:jc w:val="center"/>
              <w:rPr>
                <w:rFonts w:ascii="Book Antiqua" w:eastAsia="Times New Roman" w:hAnsi="Book Antiqua" w:cs="Times New Roman"/>
                <w:b/>
                <w:bCs/>
                <w:i/>
                <w:iCs/>
                <w:color w:val="000000"/>
                <w:sz w:val="20"/>
                <w:szCs w:val="20"/>
                <w:lang w:eastAsia="es-CR"/>
              </w:rPr>
            </w:pPr>
            <w:r>
              <w:rPr>
                <w:rFonts w:ascii="Book Antiqua" w:eastAsia="Times New Roman" w:hAnsi="Book Antiqua" w:cs="Times New Roman"/>
                <w:b/>
                <w:bCs/>
                <w:i/>
                <w:iCs/>
                <w:color w:val="000000"/>
                <w:sz w:val="20"/>
                <w:szCs w:val="20"/>
                <w:lang w:eastAsia="es-CR"/>
              </w:rPr>
              <w:t>9</w:t>
            </w:r>
          </w:p>
        </w:tc>
        <w:tc>
          <w:tcPr>
            <w:tcW w:w="1090" w:type="dxa"/>
            <w:vMerge/>
            <w:tcBorders>
              <w:top w:val="double" w:sz="6" w:space="0" w:color="1F497D"/>
              <w:left w:val="double" w:sz="6" w:space="0" w:color="1F497D"/>
              <w:bottom w:val="double" w:sz="6" w:space="0" w:color="1F497D"/>
              <w:right w:val="double" w:sz="6" w:space="0" w:color="1F497D"/>
            </w:tcBorders>
            <w:vAlign w:val="center"/>
            <w:hideMark/>
          </w:tcPr>
          <w:p w14:paraId="2F86654B" w14:textId="77777777" w:rsidR="00D90DCD" w:rsidRPr="003A32B1" w:rsidRDefault="00D90DCD" w:rsidP="00410CC9">
            <w:pPr>
              <w:spacing w:after="0" w:line="240" w:lineRule="auto"/>
              <w:rPr>
                <w:rFonts w:ascii="Book Antiqua" w:eastAsia="Times New Roman" w:hAnsi="Book Antiqua" w:cs="Times New Roman"/>
                <w:color w:val="000000"/>
                <w:sz w:val="20"/>
                <w:szCs w:val="20"/>
                <w:lang w:eastAsia="es-CR"/>
              </w:rPr>
            </w:pPr>
          </w:p>
        </w:tc>
      </w:tr>
      <w:tr w:rsidR="00D90DCD" w:rsidRPr="00583F34" w14:paraId="5703C346" w14:textId="77777777" w:rsidTr="00ED5C64">
        <w:trPr>
          <w:trHeight w:val="20"/>
        </w:trPr>
        <w:tc>
          <w:tcPr>
            <w:tcW w:w="4429"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6AF1BE6B" w14:textId="038B12C4" w:rsidR="00D90DCD" w:rsidRPr="00FC7FC4" w:rsidRDefault="00D90DCD" w:rsidP="00410CC9">
            <w:pPr>
              <w:spacing w:after="0" w:line="240" w:lineRule="auto"/>
              <w:rPr>
                <w:rFonts w:ascii="Book Antiqua" w:eastAsia="Times New Roman" w:hAnsi="Book Antiqua" w:cs="Times New Roman"/>
                <w:color w:val="000000"/>
                <w:sz w:val="20"/>
                <w:szCs w:val="20"/>
                <w:lang w:eastAsia="es-CR"/>
              </w:rPr>
            </w:pPr>
            <w:r w:rsidRPr="00302589">
              <w:rPr>
                <w:rFonts w:ascii="Book Antiqua" w:eastAsia="Times New Roman" w:hAnsi="Book Antiqua" w:cs="Times New Roman"/>
                <w:color w:val="000000"/>
                <w:sz w:val="20"/>
                <w:szCs w:val="20"/>
                <w:lang w:eastAsia="es-CR"/>
              </w:rPr>
              <w:t xml:space="preserve">Tribunal de Apelación Civil y Trabajo </w:t>
            </w:r>
            <w:r w:rsidR="00AB41EF" w:rsidRPr="00FF7F8F">
              <w:rPr>
                <w:rFonts w:ascii="Book Antiqua" w:eastAsia="Times New Roman" w:hAnsi="Book Antiqua" w:cs="Times New Roman"/>
                <w:color w:val="000000"/>
                <w:sz w:val="20"/>
                <w:szCs w:val="20"/>
                <w:lang w:eastAsia="es-CR"/>
              </w:rPr>
              <w:t>de la Zona Sur (Pérez Zeledón)</w:t>
            </w:r>
          </w:p>
        </w:tc>
        <w:tc>
          <w:tcPr>
            <w:tcW w:w="953" w:type="dxa"/>
            <w:tcBorders>
              <w:top w:val="nil"/>
              <w:left w:val="nil"/>
              <w:bottom w:val="double" w:sz="6" w:space="0" w:color="1F497D"/>
              <w:right w:val="double" w:sz="6" w:space="0" w:color="1F497D"/>
            </w:tcBorders>
            <w:shd w:val="clear" w:color="auto" w:fill="auto"/>
            <w:vAlign w:val="center"/>
            <w:hideMark/>
          </w:tcPr>
          <w:p w14:paraId="57230E06" w14:textId="77777777" w:rsidR="00D90DCD" w:rsidRPr="00FC7FC4" w:rsidRDefault="00D90DCD" w:rsidP="00410CC9">
            <w:pPr>
              <w:spacing w:after="0" w:line="240" w:lineRule="auto"/>
              <w:jc w:val="right"/>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 xml:space="preserve">Civil </w:t>
            </w:r>
          </w:p>
        </w:tc>
        <w:tc>
          <w:tcPr>
            <w:tcW w:w="992" w:type="dxa"/>
            <w:tcBorders>
              <w:top w:val="nil"/>
              <w:left w:val="nil"/>
              <w:bottom w:val="double" w:sz="6" w:space="0" w:color="1F497D"/>
              <w:right w:val="double" w:sz="6" w:space="0" w:color="1F497D"/>
            </w:tcBorders>
            <w:shd w:val="clear" w:color="auto" w:fill="auto"/>
            <w:noWrap/>
            <w:vAlign w:val="center"/>
            <w:hideMark/>
          </w:tcPr>
          <w:p w14:paraId="76DDDF75" w14:textId="77777777" w:rsidR="00D90DCD" w:rsidRPr="00FC7FC4" w:rsidRDefault="00D90DCD" w:rsidP="00410CC9">
            <w:pPr>
              <w:spacing w:after="0" w:line="240" w:lineRule="auto"/>
              <w:jc w:val="center"/>
              <w:rPr>
                <w:rFonts w:ascii="Book Antiqua" w:eastAsia="Times New Roman" w:hAnsi="Book Antiqua" w:cs="Times New Roman"/>
                <w:color w:val="000000"/>
                <w:sz w:val="20"/>
                <w:szCs w:val="20"/>
                <w:lang w:eastAsia="es-CR"/>
              </w:rPr>
            </w:pPr>
            <w:r w:rsidRPr="00FC7FC4">
              <w:rPr>
                <w:rFonts w:ascii="Book Antiqua" w:eastAsia="Times New Roman" w:hAnsi="Book Antiqua" w:cs="Times New Roman"/>
                <w:color w:val="000000"/>
                <w:sz w:val="20"/>
                <w:szCs w:val="20"/>
                <w:lang w:eastAsia="es-CR"/>
              </w:rPr>
              <w:t>787</w:t>
            </w:r>
          </w:p>
        </w:tc>
        <w:tc>
          <w:tcPr>
            <w:tcW w:w="1134"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38D27F32" w14:textId="77777777" w:rsidR="00D90DCD" w:rsidRPr="00FC7FC4" w:rsidRDefault="00D90DCD" w:rsidP="00410CC9">
            <w:pPr>
              <w:spacing w:after="0" w:line="240" w:lineRule="auto"/>
              <w:jc w:val="center"/>
              <w:rPr>
                <w:rFonts w:ascii="Book Antiqua" w:eastAsia="Times New Roman" w:hAnsi="Book Antiqua" w:cs="Times New Roman"/>
                <w:color w:val="000000"/>
                <w:sz w:val="20"/>
                <w:szCs w:val="20"/>
                <w:lang w:eastAsia="es-CR"/>
              </w:rPr>
            </w:pPr>
            <w:r w:rsidRPr="00FC7FC4">
              <w:rPr>
                <w:rFonts w:ascii="Book Antiqua" w:eastAsia="Times New Roman" w:hAnsi="Book Antiqua" w:cs="Times New Roman"/>
                <w:color w:val="000000"/>
                <w:sz w:val="20"/>
                <w:szCs w:val="20"/>
                <w:lang w:eastAsia="es-CR"/>
              </w:rPr>
              <w:t>1317</w:t>
            </w:r>
          </w:p>
        </w:tc>
        <w:tc>
          <w:tcPr>
            <w:tcW w:w="1276" w:type="dxa"/>
            <w:tcBorders>
              <w:top w:val="nil"/>
              <w:left w:val="nil"/>
              <w:bottom w:val="double" w:sz="6" w:space="0" w:color="1F497D"/>
              <w:right w:val="double" w:sz="6" w:space="0" w:color="1F497D"/>
            </w:tcBorders>
            <w:shd w:val="clear" w:color="auto" w:fill="auto"/>
            <w:noWrap/>
            <w:vAlign w:val="center"/>
            <w:hideMark/>
          </w:tcPr>
          <w:p w14:paraId="7E666605" w14:textId="77777777" w:rsidR="00D90DCD" w:rsidRPr="00FC7FC4" w:rsidRDefault="00D90DCD" w:rsidP="00410CC9">
            <w:pPr>
              <w:spacing w:after="0" w:line="240" w:lineRule="auto"/>
              <w:jc w:val="center"/>
              <w:rPr>
                <w:rFonts w:ascii="Book Antiqua" w:eastAsia="Times New Roman" w:hAnsi="Book Antiqua" w:cs="Times New Roman"/>
                <w:b/>
                <w:bCs/>
                <w:color w:val="000000"/>
                <w:sz w:val="20"/>
                <w:szCs w:val="20"/>
                <w:lang w:eastAsia="es-CR"/>
              </w:rPr>
            </w:pPr>
            <w:r w:rsidRPr="00FC7FC4">
              <w:rPr>
                <w:rFonts w:ascii="Book Antiqua" w:eastAsia="Times New Roman" w:hAnsi="Book Antiqua" w:cs="Times New Roman"/>
                <w:b/>
                <w:bCs/>
                <w:color w:val="000000"/>
                <w:sz w:val="20"/>
                <w:szCs w:val="20"/>
                <w:lang w:eastAsia="es-CR"/>
              </w:rPr>
              <w:t>23</w:t>
            </w:r>
          </w:p>
        </w:tc>
        <w:tc>
          <w:tcPr>
            <w:tcW w:w="1134" w:type="dxa"/>
            <w:tcBorders>
              <w:top w:val="nil"/>
              <w:left w:val="nil"/>
              <w:bottom w:val="double" w:sz="6" w:space="0" w:color="1F497D"/>
              <w:right w:val="double" w:sz="6" w:space="0" w:color="1F497D"/>
            </w:tcBorders>
            <w:shd w:val="clear" w:color="auto" w:fill="auto"/>
            <w:noWrap/>
            <w:vAlign w:val="center"/>
            <w:hideMark/>
          </w:tcPr>
          <w:p w14:paraId="3964CB3F" w14:textId="77777777" w:rsidR="00D90DCD" w:rsidRPr="00FC7FC4"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764</w:t>
            </w:r>
          </w:p>
        </w:tc>
        <w:tc>
          <w:tcPr>
            <w:tcW w:w="89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6AD60C6C" w14:textId="77777777" w:rsidR="00D90DCD" w:rsidRPr="003A32B1" w:rsidRDefault="00D90DCD" w:rsidP="00410CC9">
            <w:pPr>
              <w:spacing w:after="0" w:line="240" w:lineRule="auto"/>
              <w:jc w:val="center"/>
              <w:rPr>
                <w:rFonts w:ascii="Book Antiqua" w:eastAsia="Times New Roman" w:hAnsi="Book Antiqua" w:cs="Times New Roman"/>
                <w:color w:val="000000"/>
                <w:sz w:val="20"/>
                <w:szCs w:val="20"/>
                <w:lang w:eastAsia="es-CR"/>
              </w:rPr>
            </w:pPr>
            <w:r w:rsidRPr="003A32B1">
              <w:rPr>
                <w:rFonts w:ascii="Book Antiqua" w:eastAsia="Times New Roman" w:hAnsi="Book Antiqua" w:cs="Times New Roman"/>
                <w:color w:val="000000"/>
                <w:sz w:val="20"/>
                <w:szCs w:val="20"/>
                <w:lang w:eastAsia="es-CR"/>
              </w:rPr>
              <w:t>3</w:t>
            </w:r>
          </w:p>
        </w:tc>
        <w:tc>
          <w:tcPr>
            <w:tcW w:w="1090" w:type="dxa"/>
            <w:gridSpan w:val="2"/>
            <w:tcBorders>
              <w:top w:val="nil"/>
              <w:left w:val="nil"/>
              <w:bottom w:val="double" w:sz="6" w:space="0" w:color="1F497D"/>
              <w:right w:val="double" w:sz="6" w:space="0" w:color="1F497D"/>
            </w:tcBorders>
            <w:shd w:val="clear" w:color="auto" w:fill="auto"/>
            <w:vAlign w:val="center"/>
            <w:hideMark/>
          </w:tcPr>
          <w:p w14:paraId="30A77196" w14:textId="77777777" w:rsidR="00D90DCD" w:rsidRPr="003A32B1"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3A32B1">
              <w:rPr>
                <w:rFonts w:ascii="Book Antiqua" w:eastAsia="Times New Roman" w:hAnsi="Book Antiqua" w:cs="Times New Roman"/>
                <w:b/>
                <w:bCs/>
                <w:i/>
                <w:iCs/>
                <w:color w:val="000000"/>
                <w:sz w:val="20"/>
                <w:szCs w:val="20"/>
                <w:lang w:eastAsia="es-CR"/>
              </w:rPr>
              <w:t>11</w:t>
            </w:r>
          </w:p>
        </w:tc>
        <w:tc>
          <w:tcPr>
            <w:tcW w:w="1090"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22BD6621" w14:textId="77777777" w:rsidR="00D90DCD" w:rsidRPr="003A32B1" w:rsidRDefault="00D90DCD" w:rsidP="00410CC9">
            <w:pPr>
              <w:spacing w:after="0" w:line="240" w:lineRule="auto"/>
              <w:jc w:val="center"/>
              <w:rPr>
                <w:rFonts w:ascii="Book Antiqua" w:eastAsia="Times New Roman" w:hAnsi="Book Antiqua" w:cs="Times New Roman"/>
                <w:color w:val="000000"/>
                <w:sz w:val="20"/>
                <w:szCs w:val="20"/>
                <w:lang w:eastAsia="es-CR"/>
              </w:rPr>
            </w:pPr>
            <w:r w:rsidRPr="003A32B1">
              <w:rPr>
                <w:rFonts w:ascii="Book Antiqua" w:eastAsia="Times New Roman" w:hAnsi="Book Antiqua" w:cs="Times New Roman"/>
                <w:color w:val="000000"/>
                <w:sz w:val="20"/>
                <w:szCs w:val="20"/>
                <w:lang w:eastAsia="es-CR"/>
              </w:rPr>
              <w:t>19</w:t>
            </w:r>
          </w:p>
        </w:tc>
      </w:tr>
      <w:tr w:rsidR="00D90DCD" w:rsidRPr="00583F34" w14:paraId="3D419CCB" w14:textId="77777777" w:rsidTr="00ED5C64">
        <w:trPr>
          <w:trHeight w:val="20"/>
        </w:trPr>
        <w:tc>
          <w:tcPr>
            <w:tcW w:w="4429" w:type="dxa"/>
            <w:vMerge/>
            <w:tcBorders>
              <w:top w:val="nil"/>
              <w:left w:val="double" w:sz="6" w:space="0" w:color="1F497D"/>
              <w:bottom w:val="double" w:sz="6" w:space="0" w:color="1F497D"/>
              <w:right w:val="double" w:sz="6" w:space="0" w:color="1F497D"/>
            </w:tcBorders>
            <w:vAlign w:val="center"/>
            <w:hideMark/>
          </w:tcPr>
          <w:p w14:paraId="4667329D" w14:textId="77777777" w:rsidR="00D90DCD" w:rsidRPr="00FC7FC4" w:rsidRDefault="00D90DCD" w:rsidP="00410CC9">
            <w:pPr>
              <w:spacing w:after="0" w:line="240" w:lineRule="auto"/>
              <w:rPr>
                <w:rFonts w:ascii="Book Antiqua" w:eastAsia="Times New Roman" w:hAnsi="Book Antiqua" w:cs="Times New Roman"/>
                <w:color w:val="000000"/>
                <w:sz w:val="20"/>
                <w:szCs w:val="20"/>
                <w:lang w:eastAsia="es-CR"/>
              </w:rPr>
            </w:pPr>
          </w:p>
        </w:tc>
        <w:tc>
          <w:tcPr>
            <w:tcW w:w="953" w:type="dxa"/>
            <w:tcBorders>
              <w:top w:val="nil"/>
              <w:left w:val="nil"/>
              <w:bottom w:val="double" w:sz="6" w:space="0" w:color="1F497D"/>
              <w:right w:val="double" w:sz="6" w:space="0" w:color="1F497D"/>
            </w:tcBorders>
            <w:shd w:val="clear" w:color="auto" w:fill="auto"/>
            <w:vAlign w:val="center"/>
            <w:hideMark/>
          </w:tcPr>
          <w:p w14:paraId="000D973E" w14:textId="77777777" w:rsidR="00D90DCD" w:rsidRPr="00FC7FC4" w:rsidRDefault="00D90DCD" w:rsidP="00410CC9">
            <w:pPr>
              <w:spacing w:after="0" w:line="240" w:lineRule="auto"/>
              <w:jc w:val="right"/>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 xml:space="preserve">Laboral </w:t>
            </w:r>
          </w:p>
        </w:tc>
        <w:tc>
          <w:tcPr>
            <w:tcW w:w="992" w:type="dxa"/>
            <w:tcBorders>
              <w:top w:val="nil"/>
              <w:left w:val="nil"/>
              <w:bottom w:val="double" w:sz="6" w:space="0" w:color="1F497D"/>
              <w:right w:val="double" w:sz="6" w:space="0" w:color="1F497D"/>
            </w:tcBorders>
            <w:shd w:val="clear" w:color="auto" w:fill="auto"/>
            <w:noWrap/>
            <w:vAlign w:val="center"/>
            <w:hideMark/>
          </w:tcPr>
          <w:p w14:paraId="246FCFB6" w14:textId="77777777" w:rsidR="00D90DCD" w:rsidRPr="00FC7FC4" w:rsidRDefault="00D90DCD" w:rsidP="00410CC9">
            <w:pPr>
              <w:spacing w:after="0" w:line="240" w:lineRule="auto"/>
              <w:jc w:val="center"/>
              <w:rPr>
                <w:rFonts w:ascii="Book Antiqua" w:eastAsia="Times New Roman" w:hAnsi="Book Antiqua" w:cs="Times New Roman"/>
                <w:color w:val="000000"/>
                <w:sz w:val="20"/>
                <w:szCs w:val="20"/>
                <w:lang w:eastAsia="es-CR"/>
              </w:rPr>
            </w:pPr>
            <w:r w:rsidRPr="00FC7FC4">
              <w:rPr>
                <w:rFonts w:ascii="Book Antiqua" w:eastAsia="Times New Roman" w:hAnsi="Book Antiqua" w:cs="Times New Roman"/>
                <w:color w:val="000000"/>
                <w:sz w:val="20"/>
                <w:szCs w:val="20"/>
                <w:lang w:eastAsia="es-CR"/>
              </w:rPr>
              <w:t>530</w:t>
            </w:r>
          </w:p>
        </w:tc>
        <w:tc>
          <w:tcPr>
            <w:tcW w:w="1134" w:type="dxa"/>
            <w:vMerge/>
            <w:tcBorders>
              <w:top w:val="nil"/>
              <w:left w:val="double" w:sz="6" w:space="0" w:color="1F497D"/>
              <w:bottom w:val="double" w:sz="6" w:space="0" w:color="1F497D"/>
              <w:right w:val="double" w:sz="6" w:space="0" w:color="1F497D"/>
            </w:tcBorders>
            <w:vAlign w:val="center"/>
            <w:hideMark/>
          </w:tcPr>
          <w:p w14:paraId="708036B5" w14:textId="77777777" w:rsidR="00D90DCD" w:rsidRPr="00FC7FC4" w:rsidRDefault="00D90DCD" w:rsidP="00410CC9">
            <w:pPr>
              <w:spacing w:after="0" w:line="240" w:lineRule="auto"/>
              <w:rPr>
                <w:rFonts w:ascii="Book Antiqua" w:eastAsia="Times New Roman" w:hAnsi="Book Antiqua" w:cs="Times New Roman"/>
                <w:color w:val="000000"/>
                <w:sz w:val="20"/>
                <w:szCs w:val="20"/>
                <w:lang w:eastAsia="es-CR"/>
              </w:rPr>
            </w:pPr>
          </w:p>
        </w:tc>
        <w:tc>
          <w:tcPr>
            <w:tcW w:w="1276" w:type="dxa"/>
            <w:tcBorders>
              <w:top w:val="nil"/>
              <w:left w:val="nil"/>
              <w:bottom w:val="double" w:sz="6" w:space="0" w:color="1F497D"/>
              <w:right w:val="double" w:sz="6" w:space="0" w:color="1F497D"/>
            </w:tcBorders>
            <w:shd w:val="clear" w:color="auto" w:fill="auto"/>
            <w:noWrap/>
            <w:vAlign w:val="center"/>
            <w:hideMark/>
          </w:tcPr>
          <w:p w14:paraId="01BFB113" w14:textId="77777777" w:rsidR="00D90DCD" w:rsidRPr="00FC7FC4" w:rsidRDefault="00D90DCD" w:rsidP="00410CC9">
            <w:pPr>
              <w:spacing w:after="0" w:line="240" w:lineRule="auto"/>
              <w:jc w:val="center"/>
              <w:rPr>
                <w:rFonts w:ascii="Book Antiqua" w:eastAsia="Times New Roman" w:hAnsi="Book Antiqua" w:cs="Times New Roman"/>
                <w:b/>
                <w:bCs/>
                <w:color w:val="000000"/>
                <w:sz w:val="20"/>
                <w:szCs w:val="20"/>
                <w:lang w:eastAsia="es-CR"/>
              </w:rPr>
            </w:pPr>
            <w:r w:rsidRPr="00FC7FC4">
              <w:rPr>
                <w:rFonts w:ascii="Book Antiqua" w:eastAsia="Times New Roman" w:hAnsi="Book Antiqua" w:cs="Times New Roman"/>
                <w:b/>
                <w:bCs/>
                <w:color w:val="000000"/>
                <w:sz w:val="20"/>
                <w:szCs w:val="20"/>
                <w:lang w:eastAsia="es-CR"/>
              </w:rPr>
              <w:t>0</w:t>
            </w:r>
          </w:p>
        </w:tc>
        <w:tc>
          <w:tcPr>
            <w:tcW w:w="1134" w:type="dxa"/>
            <w:tcBorders>
              <w:top w:val="nil"/>
              <w:left w:val="nil"/>
              <w:bottom w:val="double" w:sz="6" w:space="0" w:color="1F497D"/>
              <w:right w:val="double" w:sz="6" w:space="0" w:color="1F497D"/>
            </w:tcBorders>
            <w:shd w:val="clear" w:color="auto" w:fill="auto"/>
            <w:noWrap/>
            <w:vAlign w:val="center"/>
            <w:hideMark/>
          </w:tcPr>
          <w:p w14:paraId="31F8C7FF" w14:textId="77777777" w:rsidR="00D90DCD" w:rsidRPr="00FC7FC4"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530</w:t>
            </w:r>
          </w:p>
        </w:tc>
        <w:tc>
          <w:tcPr>
            <w:tcW w:w="898" w:type="dxa"/>
            <w:vMerge/>
            <w:tcBorders>
              <w:top w:val="nil"/>
              <w:left w:val="double" w:sz="6" w:space="0" w:color="1F497D"/>
              <w:bottom w:val="double" w:sz="6" w:space="0" w:color="1F497D"/>
              <w:right w:val="double" w:sz="6" w:space="0" w:color="1F497D"/>
            </w:tcBorders>
            <w:vAlign w:val="center"/>
            <w:hideMark/>
          </w:tcPr>
          <w:p w14:paraId="301D4DEB" w14:textId="77777777" w:rsidR="00D90DCD" w:rsidRPr="003A32B1" w:rsidRDefault="00D90DCD" w:rsidP="00410CC9">
            <w:pPr>
              <w:spacing w:after="0" w:line="240" w:lineRule="auto"/>
              <w:rPr>
                <w:rFonts w:ascii="Book Antiqua" w:eastAsia="Times New Roman" w:hAnsi="Book Antiqua" w:cs="Times New Roman"/>
                <w:color w:val="000000"/>
                <w:sz w:val="20"/>
                <w:szCs w:val="20"/>
                <w:lang w:eastAsia="es-CR"/>
              </w:rPr>
            </w:pPr>
          </w:p>
        </w:tc>
        <w:tc>
          <w:tcPr>
            <w:tcW w:w="1090" w:type="dxa"/>
            <w:gridSpan w:val="2"/>
            <w:tcBorders>
              <w:top w:val="nil"/>
              <w:left w:val="nil"/>
              <w:bottom w:val="double" w:sz="6" w:space="0" w:color="1F497D"/>
              <w:right w:val="double" w:sz="6" w:space="0" w:color="1F497D"/>
            </w:tcBorders>
            <w:shd w:val="clear" w:color="auto" w:fill="auto"/>
            <w:vAlign w:val="center"/>
            <w:hideMark/>
          </w:tcPr>
          <w:p w14:paraId="6F42F767" w14:textId="77777777" w:rsidR="00D90DCD" w:rsidRPr="003A32B1"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3A32B1">
              <w:rPr>
                <w:rFonts w:ascii="Book Antiqua" w:eastAsia="Times New Roman" w:hAnsi="Book Antiqua" w:cs="Times New Roman"/>
                <w:b/>
                <w:bCs/>
                <w:i/>
                <w:iCs/>
                <w:color w:val="000000"/>
                <w:sz w:val="20"/>
                <w:szCs w:val="20"/>
                <w:lang w:eastAsia="es-CR"/>
              </w:rPr>
              <w:t>8</w:t>
            </w:r>
          </w:p>
        </w:tc>
        <w:tc>
          <w:tcPr>
            <w:tcW w:w="1090" w:type="dxa"/>
            <w:vMerge/>
            <w:tcBorders>
              <w:top w:val="nil"/>
              <w:left w:val="double" w:sz="6" w:space="0" w:color="1F497D"/>
              <w:bottom w:val="double" w:sz="6" w:space="0" w:color="1F497D"/>
              <w:right w:val="double" w:sz="6" w:space="0" w:color="1F497D"/>
            </w:tcBorders>
            <w:vAlign w:val="center"/>
            <w:hideMark/>
          </w:tcPr>
          <w:p w14:paraId="771A0BBF" w14:textId="77777777" w:rsidR="00D90DCD" w:rsidRPr="003A32B1" w:rsidRDefault="00D90DCD" w:rsidP="00410CC9">
            <w:pPr>
              <w:spacing w:after="0" w:line="240" w:lineRule="auto"/>
              <w:rPr>
                <w:rFonts w:ascii="Book Antiqua" w:eastAsia="Times New Roman" w:hAnsi="Book Antiqua" w:cs="Times New Roman"/>
                <w:color w:val="000000"/>
                <w:sz w:val="20"/>
                <w:szCs w:val="20"/>
                <w:lang w:eastAsia="es-CR"/>
              </w:rPr>
            </w:pPr>
          </w:p>
        </w:tc>
      </w:tr>
      <w:tr w:rsidR="00D90DCD" w:rsidRPr="00583F34" w14:paraId="461089FD" w14:textId="77777777" w:rsidTr="00ED5C64">
        <w:trPr>
          <w:trHeight w:val="20"/>
        </w:trPr>
        <w:tc>
          <w:tcPr>
            <w:tcW w:w="4429" w:type="dxa"/>
            <w:vMerge w:val="restart"/>
            <w:tcBorders>
              <w:top w:val="nil"/>
              <w:left w:val="double" w:sz="6" w:space="0" w:color="1F497D"/>
              <w:bottom w:val="double" w:sz="6" w:space="0" w:color="1F497D"/>
              <w:right w:val="double" w:sz="6" w:space="0" w:color="1F497D"/>
            </w:tcBorders>
            <w:shd w:val="clear" w:color="000000" w:fill="DCE6F1"/>
            <w:noWrap/>
            <w:vAlign w:val="center"/>
            <w:hideMark/>
          </w:tcPr>
          <w:p w14:paraId="1928DBB5" w14:textId="77777777" w:rsidR="00D90DCD" w:rsidRPr="00FC7FC4" w:rsidRDefault="00D90DCD" w:rsidP="00410CC9">
            <w:pPr>
              <w:spacing w:after="0" w:line="240" w:lineRule="auto"/>
              <w:rPr>
                <w:rFonts w:ascii="Book Antiqua" w:eastAsia="Times New Roman" w:hAnsi="Book Antiqua" w:cs="Times New Roman"/>
                <w:color w:val="000000"/>
                <w:sz w:val="20"/>
                <w:szCs w:val="20"/>
                <w:lang w:eastAsia="es-CR"/>
              </w:rPr>
            </w:pPr>
            <w:r w:rsidRPr="00302589">
              <w:rPr>
                <w:rFonts w:ascii="Book Antiqua" w:eastAsia="Times New Roman" w:hAnsi="Book Antiqua" w:cs="Times New Roman"/>
                <w:color w:val="000000"/>
                <w:sz w:val="20"/>
                <w:szCs w:val="20"/>
                <w:lang w:eastAsia="es-CR"/>
              </w:rPr>
              <w:t>Tribunal de Apelación Civil y Trabajo de Cartago</w:t>
            </w:r>
          </w:p>
        </w:tc>
        <w:tc>
          <w:tcPr>
            <w:tcW w:w="953" w:type="dxa"/>
            <w:tcBorders>
              <w:top w:val="nil"/>
              <w:left w:val="nil"/>
              <w:bottom w:val="double" w:sz="6" w:space="0" w:color="1F497D"/>
              <w:right w:val="double" w:sz="6" w:space="0" w:color="1F497D"/>
            </w:tcBorders>
            <w:shd w:val="clear" w:color="000000" w:fill="DCE6F1"/>
            <w:vAlign w:val="center"/>
            <w:hideMark/>
          </w:tcPr>
          <w:p w14:paraId="4F817EED" w14:textId="77777777" w:rsidR="00D90DCD" w:rsidRPr="00FC7FC4" w:rsidRDefault="00D90DCD" w:rsidP="00410CC9">
            <w:pPr>
              <w:spacing w:after="0" w:line="240" w:lineRule="auto"/>
              <w:jc w:val="right"/>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 xml:space="preserve">Civil </w:t>
            </w:r>
          </w:p>
        </w:tc>
        <w:tc>
          <w:tcPr>
            <w:tcW w:w="992" w:type="dxa"/>
            <w:tcBorders>
              <w:top w:val="nil"/>
              <w:left w:val="nil"/>
              <w:bottom w:val="double" w:sz="6" w:space="0" w:color="1F497D"/>
              <w:right w:val="double" w:sz="6" w:space="0" w:color="1F497D"/>
            </w:tcBorders>
            <w:shd w:val="clear" w:color="000000" w:fill="DCE6F1"/>
            <w:noWrap/>
            <w:vAlign w:val="center"/>
            <w:hideMark/>
          </w:tcPr>
          <w:p w14:paraId="35EF3193" w14:textId="77777777" w:rsidR="00D90DCD" w:rsidRPr="00FC7FC4" w:rsidRDefault="00D90DCD" w:rsidP="00410CC9">
            <w:pPr>
              <w:spacing w:after="0" w:line="240" w:lineRule="auto"/>
              <w:jc w:val="center"/>
              <w:rPr>
                <w:rFonts w:ascii="Book Antiqua" w:eastAsia="Times New Roman" w:hAnsi="Book Antiqua" w:cs="Times New Roman"/>
                <w:color w:val="000000"/>
                <w:sz w:val="20"/>
                <w:szCs w:val="20"/>
                <w:lang w:eastAsia="es-CR"/>
              </w:rPr>
            </w:pPr>
            <w:r w:rsidRPr="00FC7FC4">
              <w:rPr>
                <w:rFonts w:ascii="Book Antiqua" w:eastAsia="Times New Roman" w:hAnsi="Book Antiqua" w:cs="Times New Roman"/>
                <w:color w:val="000000"/>
                <w:sz w:val="20"/>
                <w:szCs w:val="20"/>
                <w:lang w:eastAsia="es-CR"/>
              </w:rPr>
              <w:t>728</w:t>
            </w:r>
          </w:p>
        </w:tc>
        <w:tc>
          <w:tcPr>
            <w:tcW w:w="1134" w:type="dxa"/>
            <w:vMerge w:val="restart"/>
            <w:tcBorders>
              <w:top w:val="nil"/>
              <w:left w:val="double" w:sz="6" w:space="0" w:color="1F497D"/>
              <w:bottom w:val="double" w:sz="6" w:space="0" w:color="1F497D"/>
              <w:right w:val="double" w:sz="6" w:space="0" w:color="1F497D"/>
            </w:tcBorders>
            <w:shd w:val="clear" w:color="000000" w:fill="DCE6F1"/>
            <w:noWrap/>
            <w:vAlign w:val="center"/>
            <w:hideMark/>
          </w:tcPr>
          <w:p w14:paraId="344DA853" w14:textId="77777777" w:rsidR="00D90DCD" w:rsidRPr="00FC7FC4" w:rsidRDefault="00D90DCD" w:rsidP="00410CC9">
            <w:pPr>
              <w:spacing w:after="0" w:line="240" w:lineRule="auto"/>
              <w:jc w:val="center"/>
              <w:rPr>
                <w:rFonts w:ascii="Book Antiqua" w:eastAsia="Times New Roman" w:hAnsi="Book Antiqua" w:cs="Times New Roman"/>
                <w:color w:val="000000"/>
                <w:sz w:val="20"/>
                <w:szCs w:val="20"/>
                <w:lang w:eastAsia="es-CR"/>
              </w:rPr>
            </w:pPr>
            <w:r w:rsidRPr="00FC7FC4">
              <w:rPr>
                <w:rFonts w:ascii="Book Antiqua" w:eastAsia="Times New Roman" w:hAnsi="Book Antiqua" w:cs="Times New Roman"/>
                <w:color w:val="000000"/>
                <w:sz w:val="20"/>
                <w:szCs w:val="20"/>
                <w:lang w:eastAsia="es-CR"/>
              </w:rPr>
              <w:t>1657</w:t>
            </w:r>
          </w:p>
        </w:tc>
        <w:tc>
          <w:tcPr>
            <w:tcW w:w="1276" w:type="dxa"/>
            <w:tcBorders>
              <w:top w:val="nil"/>
              <w:left w:val="nil"/>
              <w:bottom w:val="double" w:sz="6" w:space="0" w:color="1F497D"/>
              <w:right w:val="double" w:sz="6" w:space="0" w:color="1F497D"/>
            </w:tcBorders>
            <w:shd w:val="clear" w:color="000000" w:fill="DCE6F1"/>
            <w:noWrap/>
            <w:vAlign w:val="center"/>
            <w:hideMark/>
          </w:tcPr>
          <w:p w14:paraId="223F3C6A" w14:textId="77777777" w:rsidR="00D90DCD" w:rsidRPr="00FC7FC4" w:rsidRDefault="00D90DCD" w:rsidP="00410CC9">
            <w:pPr>
              <w:spacing w:after="0" w:line="240" w:lineRule="auto"/>
              <w:jc w:val="center"/>
              <w:rPr>
                <w:rFonts w:ascii="Book Antiqua" w:eastAsia="Times New Roman" w:hAnsi="Book Antiqua" w:cs="Times New Roman"/>
                <w:b/>
                <w:bCs/>
                <w:color w:val="000000"/>
                <w:sz w:val="20"/>
                <w:szCs w:val="20"/>
                <w:lang w:eastAsia="es-CR"/>
              </w:rPr>
            </w:pPr>
            <w:r w:rsidRPr="00FC7FC4">
              <w:rPr>
                <w:rFonts w:ascii="Book Antiqua" w:eastAsia="Times New Roman" w:hAnsi="Book Antiqua" w:cs="Times New Roman"/>
                <w:b/>
                <w:bCs/>
                <w:color w:val="000000"/>
                <w:sz w:val="20"/>
                <w:szCs w:val="20"/>
                <w:lang w:eastAsia="es-CR"/>
              </w:rPr>
              <w:t>79</w:t>
            </w:r>
          </w:p>
        </w:tc>
        <w:tc>
          <w:tcPr>
            <w:tcW w:w="1134" w:type="dxa"/>
            <w:tcBorders>
              <w:top w:val="nil"/>
              <w:left w:val="nil"/>
              <w:bottom w:val="double" w:sz="6" w:space="0" w:color="1F497D"/>
              <w:right w:val="double" w:sz="6" w:space="0" w:color="1F497D"/>
            </w:tcBorders>
            <w:shd w:val="clear" w:color="000000" w:fill="DCE6F1"/>
            <w:noWrap/>
            <w:vAlign w:val="center"/>
            <w:hideMark/>
          </w:tcPr>
          <w:p w14:paraId="6EFD7430" w14:textId="77777777" w:rsidR="00D90DCD" w:rsidRPr="00FC7FC4"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649</w:t>
            </w:r>
          </w:p>
        </w:tc>
        <w:tc>
          <w:tcPr>
            <w:tcW w:w="898" w:type="dxa"/>
            <w:vMerge w:val="restart"/>
            <w:tcBorders>
              <w:top w:val="nil"/>
              <w:left w:val="double" w:sz="6" w:space="0" w:color="1F497D"/>
              <w:bottom w:val="double" w:sz="6" w:space="0" w:color="1F497D"/>
              <w:right w:val="double" w:sz="6" w:space="0" w:color="1F497D"/>
            </w:tcBorders>
            <w:shd w:val="clear" w:color="000000" w:fill="DCE6F1"/>
            <w:noWrap/>
            <w:vAlign w:val="center"/>
            <w:hideMark/>
          </w:tcPr>
          <w:p w14:paraId="0C5F52CC" w14:textId="77777777" w:rsidR="00D90DCD" w:rsidRPr="003A32B1" w:rsidRDefault="00D90DCD" w:rsidP="00410CC9">
            <w:pPr>
              <w:spacing w:after="0" w:line="240" w:lineRule="auto"/>
              <w:jc w:val="center"/>
              <w:rPr>
                <w:rFonts w:ascii="Book Antiqua" w:eastAsia="Times New Roman" w:hAnsi="Book Antiqua" w:cs="Times New Roman"/>
                <w:color w:val="000000"/>
                <w:sz w:val="20"/>
                <w:szCs w:val="20"/>
                <w:lang w:eastAsia="es-CR"/>
              </w:rPr>
            </w:pPr>
            <w:r w:rsidRPr="003A32B1">
              <w:rPr>
                <w:rFonts w:ascii="Book Antiqua" w:eastAsia="Times New Roman" w:hAnsi="Book Antiqua" w:cs="Times New Roman"/>
                <w:color w:val="000000"/>
                <w:sz w:val="20"/>
                <w:szCs w:val="20"/>
                <w:lang w:eastAsia="es-CR"/>
              </w:rPr>
              <w:t>3</w:t>
            </w:r>
          </w:p>
        </w:tc>
        <w:tc>
          <w:tcPr>
            <w:tcW w:w="1090" w:type="dxa"/>
            <w:gridSpan w:val="2"/>
            <w:tcBorders>
              <w:top w:val="nil"/>
              <w:left w:val="nil"/>
              <w:bottom w:val="double" w:sz="6" w:space="0" w:color="1F497D"/>
              <w:right w:val="double" w:sz="6" w:space="0" w:color="1F497D"/>
            </w:tcBorders>
            <w:shd w:val="clear" w:color="000000" w:fill="DCE6F1"/>
            <w:vAlign w:val="center"/>
            <w:hideMark/>
          </w:tcPr>
          <w:p w14:paraId="3FF80B3D" w14:textId="77777777" w:rsidR="00D90DCD" w:rsidRPr="003A32B1"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3A32B1">
              <w:rPr>
                <w:rFonts w:ascii="Book Antiqua" w:eastAsia="Times New Roman" w:hAnsi="Book Antiqua" w:cs="Times New Roman"/>
                <w:b/>
                <w:bCs/>
                <w:i/>
                <w:iCs/>
                <w:color w:val="000000"/>
                <w:sz w:val="20"/>
                <w:szCs w:val="20"/>
                <w:lang w:eastAsia="es-CR"/>
              </w:rPr>
              <w:t>10</w:t>
            </w:r>
          </w:p>
        </w:tc>
        <w:tc>
          <w:tcPr>
            <w:tcW w:w="1090" w:type="dxa"/>
            <w:vMerge w:val="restart"/>
            <w:tcBorders>
              <w:top w:val="nil"/>
              <w:left w:val="double" w:sz="6" w:space="0" w:color="1F497D"/>
              <w:bottom w:val="double" w:sz="6" w:space="0" w:color="1F497D"/>
              <w:right w:val="double" w:sz="6" w:space="0" w:color="1F497D"/>
            </w:tcBorders>
            <w:shd w:val="clear" w:color="000000" w:fill="DCE6F1"/>
            <w:noWrap/>
            <w:vAlign w:val="center"/>
            <w:hideMark/>
          </w:tcPr>
          <w:p w14:paraId="29D406AB" w14:textId="77777777" w:rsidR="00D90DCD" w:rsidRPr="003A32B1" w:rsidRDefault="00D90DCD" w:rsidP="00410CC9">
            <w:pPr>
              <w:spacing w:after="0" w:line="240" w:lineRule="auto"/>
              <w:jc w:val="center"/>
              <w:rPr>
                <w:rFonts w:ascii="Book Antiqua" w:eastAsia="Times New Roman" w:hAnsi="Book Antiqua" w:cs="Times New Roman"/>
                <w:color w:val="000000"/>
                <w:sz w:val="20"/>
                <w:szCs w:val="20"/>
                <w:lang w:eastAsia="es-CR"/>
              </w:rPr>
            </w:pPr>
            <w:r w:rsidRPr="003A32B1">
              <w:rPr>
                <w:rFonts w:ascii="Book Antiqua" w:eastAsia="Times New Roman" w:hAnsi="Book Antiqua" w:cs="Times New Roman"/>
                <w:color w:val="000000"/>
                <w:sz w:val="20"/>
                <w:szCs w:val="20"/>
                <w:lang w:eastAsia="es-CR"/>
              </w:rPr>
              <w:t>20</w:t>
            </w:r>
          </w:p>
        </w:tc>
      </w:tr>
      <w:tr w:rsidR="00D90DCD" w:rsidRPr="00583F34" w14:paraId="4007EE7B" w14:textId="77777777" w:rsidTr="00ED5C64">
        <w:trPr>
          <w:trHeight w:val="20"/>
        </w:trPr>
        <w:tc>
          <w:tcPr>
            <w:tcW w:w="4429" w:type="dxa"/>
            <w:vMerge/>
            <w:tcBorders>
              <w:top w:val="nil"/>
              <w:left w:val="double" w:sz="6" w:space="0" w:color="1F497D"/>
              <w:bottom w:val="double" w:sz="6" w:space="0" w:color="1F497D"/>
              <w:right w:val="double" w:sz="6" w:space="0" w:color="1F497D"/>
            </w:tcBorders>
            <w:vAlign w:val="center"/>
            <w:hideMark/>
          </w:tcPr>
          <w:p w14:paraId="038A8DC6" w14:textId="77777777" w:rsidR="00D90DCD" w:rsidRPr="00FC7FC4" w:rsidRDefault="00D90DCD" w:rsidP="00410CC9">
            <w:pPr>
              <w:spacing w:after="0" w:line="240" w:lineRule="auto"/>
              <w:rPr>
                <w:rFonts w:ascii="Book Antiqua" w:eastAsia="Times New Roman" w:hAnsi="Book Antiqua" w:cs="Times New Roman"/>
                <w:color w:val="000000"/>
                <w:sz w:val="20"/>
                <w:szCs w:val="20"/>
                <w:lang w:eastAsia="es-CR"/>
              </w:rPr>
            </w:pPr>
          </w:p>
        </w:tc>
        <w:tc>
          <w:tcPr>
            <w:tcW w:w="953" w:type="dxa"/>
            <w:tcBorders>
              <w:top w:val="nil"/>
              <w:left w:val="nil"/>
              <w:bottom w:val="double" w:sz="6" w:space="0" w:color="1F497D"/>
              <w:right w:val="double" w:sz="6" w:space="0" w:color="1F497D"/>
            </w:tcBorders>
            <w:shd w:val="clear" w:color="000000" w:fill="DCE6F1"/>
            <w:vAlign w:val="center"/>
            <w:hideMark/>
          </w:tcPr>
          <w:p w14:paraId="756D96C1" w14:textId="77777777" w:rsidR="00D90DCD" w:rsidRPr="00FC7FC4" w:rsidRDefault="00D90DCD" w:rsidP="00410CC9">
            <w:pPr>
              <w:spacing w:after="0" w:line="240" w:lineRule="auto"/>
              <w:jc w:val="right"/>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 xml:space="preserve">Laboral </w:t>
            </w:r>
          </w:p>
        </w:tc>
        <w:tc>
          <w:tcPr>
            <w:tcW w:w="992" w:type="dxa"/>
            <w:tcBorders>
              <w:top w:val="nil"/>
              <w:left w:val="nil"/>
              <w:bottom w:val="double" w:sz="6" w:space="0" w:color="1F497D"/>
              <w:right w:val="double" w:sz="6" w:space="0" w:color="1F497D"/>
            </w:tcBorders>
            <w:shd w:val="clear" w:color="000000" w:fill="DCE6F1"/>
            <w:noWrap/>
            <w:vAlign w:val="center"/>
            <w:hideMark/>
          </w:tcPr>
          <w:p w14:paraId="083D624D" w14:textId="77777777" w:rsidR="00D90DCD" w:rsidRPr="00FC7FC4" w:rsidRDefault="00D90DCD" w:rsidP="00410CC9">
            <w:pPr>
              <w:spacing w:after="0" w:line="240" w:lineRule="auto"/>
              <w:jc w:val="center"/>
              <w:rPr>
                <w:rFonts w:ascii="Book Antiqua" w:eastAsia="Times New Roman" w:hAnsi="Book Antiqua" w:cs="Times New Roman"/>
                <w:color w:val="000000"/>
                <w:sz w:val="20"/>
                <w:szCs w:val="20"/>
                <w:lang w:eastAsia="es-CR"/>
              </w:rPr>
            </w:pPr>
            <w:r w:rsidRPr="00FC7FC4">
              <w:rPr>
                <w:rFonts w:ascii="Book Antiqua" w:eastAsia="Times New Roman" w:hAnsi="Book Antiqua" w:cs="Times New Roman"/>
                <w:color w:val="000000"/>
                <w:sz w:val="20"/>
                <w:szCs w:val="20"/>
                <w:lang w:eastAsia="es-CR"/>
              </w:rPr>
              <w:t>929</w:t>
            </w:r>
          </w:p>
        </w:tc>
        <w:tc>
          <w:tcPr>
            <w:tcW w:w="1134" w:type="dxa"/>
            <w:vMerge/>
            <w:tcBorders>
              <w:top w:val="nil"/>
              <w:left w:val="double" w:sz="6" w:space="0" w:color="1F497D"/>
              <w:bottom w:val="double" w:sz="6" w:space="0" w:color="1F497D"/>
              <w:right w:val="double" w:sz="6" w:space="0" w:color="1F497D"/>
            </w:tcBorders>
            <w:vAlign w:val="center"/>
            <w:hideMark/>
          </w:tcPr>
          <w:p w14:paraId="35F0E4F0" w14:textId="77777777" w:rsidR="00D90DCD" w:rsidRPr="00FC7FC4" w:rsidRDefault="00D90DCD" w:rsidP="00410CC9">
            <w:pPr>
              <w:spacing w:after="0" w:line="240" w:lineRule="auto"/>
              <w:rPr>
                <w:rFonts w:ascii="Book Antiqua" w:eastAsia="Times New Roman" w:hAnsi="Book Antiqua" w:cs="Times New Roman"/>
                <w:color w:val="000000"/>
                <w:sz w:val="20"/>
                <w:szCs w:val="20"/>
                <w:lang w:eastAsia="es-CR"/>
              </w:rPr>
            </w:pPr>
          </w:p>
        </w:tc>
        <w:tc>
          <w:tcPr>
            <w:tcW w:w="1276" w:type="dxa"/>
            <w:tcBorders>
              <w:top w:val="nil"/>
              <w:left w:val="nil"/>
              <w:bottom w:val="double" w:sz="6" w:space="0" w:color="1F497D"/>
              <w:right w:val="double" w:sz="6" w:space="0" w:color="1F497D"/>
            </w:tcBorders>
            <w:shd w:val="clear" w:color="000000" w:fill="DCE6F1"/>
            <w:noWrap/>
            <w:vAlign w:val="center"/>
            <w:hideMark/>
          </w:tcPr>
          <w:p w14:paraId="758B912B" w14:textId="77777777" w:rsidR="00D90DCD" w:rsidRPr="00FC7FC4" w:rsidRDefault="00D90DCD" w:rsidP="00410CC9">
            <w:pPr>
              <w:spacing w:after="0" w:line="240" w:lineRule="auto"/>
              <w:jc w:val="center"/>
              <w:rPr>
                <w:rFonts w:ascii="Book Antiqua" w:eastAsia="Times New Roman" w:hAnsi="Book Antiqua" w:cs="Times New Roman"/>
                <w:b/>
                <w:bCs/>
                <w:color w:val="000000"/>
                <w:sz w:val="20"/>
                <w:szCs w:val="20"/>
                <w:lang w:eastAsia="es-CR"/>
              </w:rPr>
            </w:pPr>
            <w:r w:rsidRPr="00FC7FC4">
              <w:rPr>
                <w:rFonts w:ascii="Book Antiqua" w:eastAsia="Times New Roman" w:hAnsi="Book Antiqua" w:cs="Times New Roman"/>
                <w:b/>
                <w:bCs/>
                <w:color w:val="000000"/>
                <w:sz w:val="20"/>
                <w:szCs w:val="20"/>
                <w:lang w:eastAsia="es-CR"/>
              </w:rPr>
              <w:t>195</w:t>
            </w:r>
          </w:p>
        </w:tc>
        <w:tc>
          <w:tcPr>
            <w:tcW w:w="1134" w:type="dxa"/>
            <w:tcBorders>
              <w:top w:val="nil"/>
              <w:left w:val="nil"/>
              <w:bottom w:val="double" w:sz="6" w:space="0" w:color="1F497D"/>
              <w:right w:val="double" w:sz="6" w:space="0" w:color="1F497D"/>
            </w:tcBorders>
            <w:shd w:val="clear" w:color="000000" w:fill="DCE6F1"/>
            <w:noWrap/>
            <w:vAlign w:val="center"/>
            <w:hideMark/>
          </w:tcPr>
          <w:p w14:paraId="064D117D" w14:textId="77777777" w:rsidR="00D90DCD" w:rsidRPr="00FC7FC4"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734</w:t>
            </w:r>
          </w:p>
        </w:tc>
        <w:tc>
          <w:tcPr>
            <w:tcW w:w="898" w:type="dxa"/>
            <w:vMerge/>
            <w:tcBorders>
              <w:top w:val="nil"/>
              <w:left w:val="double" w:sz="6" w:space="0" w:color="1F497D"/>
              <w:bottom w:val="double" w:sz="6" w:space="0" w:color="1F497D"/>
              <w:right w:val="double" w:sz="6" w:space="0" w:color="1F497D"/>
            </w:tcBorders>
            <w:vAlign w:val="center"/>
            <w:hideMark/>
          </w:tcPr>
          <w:p w14:paraId="55A4AD6B" w14:textId="77777777" w:rsidR="00D90DCD" w:rsidRPr="003A32B1" w:rsidRDefault="00D90DCD" w:rsidP="00410CC9">
            <w:pPr>
              <w:spacing w:after="0" w:line="240" w:lineRule="auto"/>
              <w:rPr>
                <w:rFonts w:ascii="Book Antiqua" w:eastAsia="Times New Roman" w:hAnsi="Book Antiqua" w:cs="Times New Roman"/>
                <w:color w:val="000000"/>
                <w:sz w:val="20"/>
                <w:szCs w:val="20"/>
                <w:lang w:eastAsia="es-CR"/>
              </w:rPr>
            </w:pPr>
          </w:p>
        </w:tc>
        <w:tc>
          <w:tcPr>
            <w:tcW w:w="1090" w:type="dxa"/>
            <w:gridSpan w:val="2"/>
            <w:tcBorders>
              <w:top w:val="nil"/>
              <w:left w:val="nil"/>
              <w:bottom w:val="double" w:sz="6" w:space="0" w:color="1F497D"/>
              <w:right w:val="double" w:sz="6" w:space="0" w:color="1F497D"/>
            </w:tcBorders>
            <w:shd w:val="clear" w:color="000000" w:fill="DCE6F1"/>
            <w:vAlign w:val="center"/>
            <w:hideMark/>
          </w:tcPr>
          <w:p w14:paraId="299DC6E0" w14:textId="77777777" w:rsidR="00D90DCD" w:rsidRPr="003A32B1"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3A32B1">
              <w:rPr>
                <w:rFonts w:ascii="Book Antiqua" w:eastAsia="Times New Roman" w:hAnsi="Book Antiqua" w:cs="Times New Roman"/>
                <w:b/>
                <w:bCs/>
                <w:i/>
                <w:iCs/>
                <w:color w:val="000000"/>
                <w:sz w:val="20"/>
                <w:szCs w:val="20"/>
                <w:lang w:eastAsia="es-CR"/>
              </w:rPr>
              <w:t>11</w:t>
            </w:r>
          </w:p>
        </w:tc>
        <w:tc>
          <w:tcPr>
            <w:tcW w:w="1090" w:type="dxa"/>
            <w:vMerge/>
            <w:tcBorders>
              <w:top w:val="nil"/>
              <w:left w:val="double" w:sz="6" w:space="0" w:color="1F497D"/>
              <w:bottom w:val="double" w:sz="6" w:space="0" w:color="1F497D"/>
              <w:right w:val="double" w:sz="6" w:space="0" w:color="1F497D"/>
            </w:tcBorders>
            <w:vAlign w:val="center"/>
            <w:hideMark/>
          </w:tcPr>
          <w:p w14:paraId="24E35385" w14:textId="77777777" w:rsidR="00D90DCD" w:rsidRPr="003A32B1" w:rsidRDefault="00D90DCD" w:rsidP="00410CC9">
            <w:pPr>
              <w:spacing w:after="0" w:line="240" w:lineRule="auto"/>
              <w:rPr>
                <w:rFonts w:ascii="Book Antiqua" w:eastAsia="Times New Roman" w:hAnsi="Book Antiqua" w:cs="Times New Roman"/>
                <w:color w:val="000000"/>
                <w:sz w:val="20"/>
                <w:szCs w:val="20"/>
                <w:lang w:eastAsia="es-CR"/>
              </w:rPr>
            </w:pPr>
          </w:p>
        </w:tc>
      </w:tr>
      <w:tr w:rsidR="00D90DCD" w:rsidRPr="00583F34" w14:paraId="5ED93930" w14:textId="77777777" w:rsidTr="00ED5C64">
        <w:trPr>
          <w:trHeight w:val="20"/>
        </w:trPr>
        <w:tc>
          <w:tcPr>
            <w:tcW w:w="4429"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0B54C45F" w14:textId="77777777" w:rsidR="00D90DCD" w:rsidRPr="00FC7FC4" w:rsidRDefault="00D90DCD" w:rsidP="00410CC9">
            <w:pPr>
              <w:spacing w:after="0" w:line="240" w:lineRule="auto"/>
              <w:rPr>
                <w:rFonts w:ascii="Book Antiqua" w:eastAsia="Times New Roman" w:hAnsi="Book Antiqua" w:cs="Times New Roman"/>
                <w:color w:val="000000"/>
                <w:sz w:val="20"/>
                <w:szCs w:val="20"/>
                <w:lang w:eastAsia="es-CR"/>
              </w:rPr>
            </w:pPr>
            <w:r w:rsidRPr="00302589">
              <w:rPr>
                <w:rFonts w:ascii="Book Antiqua" w:eastAsia="Times New Roman" w:hAnsi="Book Antiqua" w:cs="Times New Roman"/>
                <w:color w:val="000000"/>
                <w:sz w:val="20"/>
                <w:szCs w:val="20"/>
                <w:lang w:eastAsia="es-CR"/>
              </w:rPr>
              <w:t>Tribunal de Apelación Civil y Trabajo de Heredia</w:t>
            </w:r>
          </w:p>
        </w:tc>
        <w:tc>
          <w:tcPr>
            <w:tcW w:w="953" w:type="dxa"/>
            <w:tcBorders>
              <w:top w:val="nil"/>
              <w:left w:val="nil"/>
              <w:bottom w:val="double" w:sz="6" w:space="0" w:color="1F497D"/>
              <w:right w:val="double" w:sz="6" w:space="0" w:color="1F497D"/>
            </w:tcBorders>
            <w:shd w:val="clear" w:color="auto" w:fill="auto"/>
            <w:vAlign w:val="center"/>
            <w:hideMark/>
          </w:tcPr>
          <w:p w14:paraId="4DFE2243" w14:textId="77777777" w:rsidR="00D90DCD" w:rsidRPr="00FC7FC4" w:rsidRDefault="00D90DCD" w:rsidP="00410CC9">
            <w:pPr>
              <w:spacing w:after="0" w:line="240" w:lineRule="auto"/>
              <w:jc w:val="right"/>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 xml:space="preserve">Civil </w:t>
            </w:r>
          </w:p>
        </w:tc>
        <w:tc>
          <w:tcPr>
            <w:tcW w:w="992" w:type="dxa"/>
            <w:tcBorders>
              <w:top w:val="nil"/>
              <w:left w:val="nil"/>
              <w:bottom w:val="double" w:sz="6" w:space="0" w:color="1F497D"/>
              <w:right w:val="double" w:sz="6" w:space="0" w:color="1F497D"/>
            </w:tcBorders>
            <w:shd w:val="clear" w:color="auto" w:fill="auto"/>
            <w:noWrap/>
            <w:vAlign w:val="center"/>
            <w:hideMark/>
          </w:tcPr>
          <w:p w14:paraId="2975558F" w14:textId="77777777" w:rsidR="00D90DCD" w:rsidRPr="00FC7FC4" w:rsidRDefault="00D90DCD" w:rsidP="00410CC9">
            <w:pPr>
              <w:spacing w:after="0" w:line="240" w:lineRule="auto"/>
              <w:jc w:val="center"/>
              <w:rPr>
                <w:rFonts w:ascii="Book Antiqua" w:eastAsia="Times New Roman" w:hAnsi="Book Antiqua" w:cs="Times New Roman"/>
                <w:color w:val="000000"/>
                <w:sz w:val="20"/>
                <w:szCs w:val="20"/>
                <w:lang w:eastAsia="es-CR"/>
              </w:rPr>
            </w:pPr>
            <w:r w:rsidRPr="00FC7FC4">
              <w:rPr>
                <w:rFonts w:ascii="Book Antiqua" w:eastAsia="Times New Roman" w:hAnsi="Book Antiqua" w:cs="Times New Roman"/>
                <w:color w:val="000000"/>
                <w:sz w:val="20"/>
                <w:szCs w:val="20"/>
                <w:lang w:eastAsia="es-CR"/>
              </w:rPr>
              <w:t>822</w:t>
            </w:r>
          </w:p>
        </w:tc>
        <w:tc>
          <w:tcPr>
            <w:tcW w:w="1134"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15601409" w14:textId="77777777" w:rsidR="00D90DCD" w:rsidRPr="00FC7FC4" w:rsidRDefault="00D90DCD" w:rsidP="00410CC9">
            <w:pPr>
              <w:spacing w:after="0" w:line="240" w:lineRule="auto"/>
              <w:jc w:val="center"/>
              <w:rPr>
                <w:rFonts w:ascii="Book Antiqua" w:eastAsia="Times New Roman" w:hAnsi="Book Antiqua" w:cs="Times New Roman"/>
                <w:color w:val="000000"/>
                <w:sz w:val="20"/>
                <w:szCs w:val="20"/>
                <w:lang w:eastAsia="es-CR"/>
              </w:rPr>
            </w:pPr>
            <w:r w:rsidRPr="00FC7FC4">
              <w:rPr>
                <w:rFonts w:ascii="Book Antiqua" w:eastAsia="Times New Roman" w:hAnsi="Book Antiqua" w:cs="Times New Roman"/>
                <w:color w:val="000000"/>
                <w:sz w:val="20"/>
                <w:szCs w:val="20"/>
                <w:lang w:eastAsia="es-CR"/>
              </w:rPr>
              <w:t>1718</w:t>
            </w:r>
          </w:p>
        </w:tc>
        <w:tc>
          <w:tcPr>
            <w:tcW w:w="1276" w:type="dxa"/>
            <w:tcBorders>
              <w:top w:val="nil"/>
              <w:left w:val="nil"/>
              <w:bottom w:val="double" w:sz="6" w:space="0" w:color="1F497D"/>
              <w:right w:val="double" w:sz="6" w:space="0" w:color="1F497D"/>
            </w:tcBorders>
            <w:shd w:val="clear" w:color="auto" w:fill="auto"/>
            <w:noWrap/>
            <w:vAlign w:val="center"/>
            <w:hideMark/>
          </w:tcPr>
          <w:p w14:paraId="21ED62E1" w14:textId="77777777" w:rsidR="00D90DCD" w:rsidRPr="00FC7FC4" w:rsidRDefault="00D90DCD" w:rsidP="00410CC9">
            <w:pPr>
              <w:spacing w:after="0" w:line="240" w:lineRule="auto"/>
              <w:jc w:val="center"/>
              <w:rPr>
                <w:rFonts w:ascii="Book Antiqua" w:eastAsia="Times New Roman" w:hAnsi="Book Antiqua" w:cs="Times New Roman"/>
                <w:b/>
                <w:bCs/>
                <w:color w:val="000000"/>
                <w:sz w:val="20"/>
                <w:szCs w:val="20"/>
                <w:lang w:eastAsia="es-CR"/>
              </w:rPr>
            </w:pPr>
            <w:r w:rsidRPr="00FC7FC4">
              <w:rPr>
                <w:rFonts w:ascii="Book Antiqua" w:eastAsia="Times New Roman" w:hAnsi="Book Antiqua" w:cs="Times New Roman"/>
                <w:b/>
                <w:bCs/>
                <w:color w:val="000000"/>
                <w:sz w:val="20"/>
                <w:szCs w:val="20"/>
                <w:lang w:eastAsia="es-CR"/>
              </w:rPr>
              <w:t>181</w:t>
            </w:r>
          </w:p>
        </w:tc>
        <w:tc>
          <w:tcPr>
            <w:tcW w:w="1134" w:type="dxa"/>
            <w:tcBorders>
              <w:top w:val="nil"/>
              <w:left w:val="nil"/>
              <w:bottom w:val="double" w:sz="6" w:space="0" w:color="1F497D"/>
              <w:right w:val="double" w:sz="6" w:space="0" w:color="1F497D"/>
            </w:tcBorders>
            <w:shd w:val="clear" w:color="auto" w:fill="auto"/>
            <w:noWrap/>
            <w:vAlign w:val="center"/>
            <w:hideMark/>
          </w:tcPr>
          <w:p w14:paraId="2AF721C3" w14:textId="77777777" w:rsidR="00D90DCD" w:rsidRPr="00FC7FC4"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641</w:t>
            </w:r>
          </w:p>
        </w:tc>
        <w:tc>
          <w:tcPr>
            <w:tcW w:w="89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65D70F61" w14:textId="77777777" w:rsidR="00D90DCD" w:rsidRPr="003A32B1" w:rsidRDefault="00D90DCD" w:rsidP="00410CC9">
            <w:pPr>
              <w:spacing w:after="0" w:line="240" w:lineRule="auto"/>
              <w:jc w:val="center"/>
              <w:rPr>
                <w:rFonts w:ascii="Book Antiqua" w:eastAsia="Times New Roman" w:hAnsi="Book Antiqua" w:cs="Times New Roman"/>
                <w:color w:val="000000"/>
                <w:sz w:val="20"/>
                <w:szCs w:val="20"/>
                <w:lang w:eastAsia="es-CR"/>
              </w:rPr>
            </w:pPr>
            <w:r w:rsidRPr="003A32B1">
              <w:rPr>
                <w:rFonts w:ascii="Book Antiqua" w:eastAsia="Times New Roman" w:hAnsi="Book Antiqua" w:cs="Times New Roman"/>
                <w:color w:val="000000"/>
                <w:sz w:val="20"/>
                <w:szCs w:val="20"/>
                <w:lang w:eastAsia="es-CR"/>
              </w:rPr>
              <w:t>3</w:t>
            </w:r>
          </w:p>
        </w:tc>
        <w:tc>
          <w:tcPr>
            <w:tcW w:w="1090" w:type="dxa"/>
            <w:gridSpan w:val="2"/>
            <w:tcBorders>
              <w:top w:val="nil"/>
              <w:left w:val="nil"/>
              <w:bottom w:val="double" w:sz="6" w:space="0" w:color="1F497D"/>
              <w:right w:val="double" w:sz="6" w:space="0" w:color="1F497D"/>
            </w:tcBorders>
            <w:shd w:val="clear" w:color="auto" w:fill="auto"/>
            <w:vAlign w:val="center"/>
            <w:hideMark/>
          </w:tcPr>
          <w:p w14:paraId="0675D867" w14:textId="77777777" w:rsidR="00D90DCD" w:rsidRPr="003A32B1"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3A32B1">
              <w:rPr>
                <w:rFonts w:ascii="Book Antiqua" w:eastAsia="Times New Roman" w:hAnsi="Book Antiqua" w:cs="Times New Roman"/>
                <w:b/>
                <w:bCs/>
                <w:i/>
                <w:iCs/>
                <w:color w:val="000000"/>
                <w:sz w:val="20"/>
                <w:szCs w:val="20"/>
                <w:lang w:eastAsia="es-CR"/>
              </w:rPr>
              <w:t>9</w:t>
            </w:r>
          </w:p>
        </w:tc>
        <w:tc>
          <w:tcPr>
            <w:tcW w:w="1090"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71FBAAED" w14:textId="77777777" w:rsidR="00D90DCD" w:rsidRPr="003A32B1" w:rsidRDefault="00D90DCD" w:rsidP="00410CC9">
            <w:pPr>
              <w:spacing w:after="0" w:line="240" w:lineRule="auto"/>
              <w:jc w:val="center"/>
              <w:rPr>
                <w:rFonts w:ascii="Book Antiqua" w:eastAsia="Times New Roman" w:hAnsi="Book Antiqua" w:cs="Times New Roman"/>
                <w:color w:val="000000"/>
                <w:sz w:val="20"/>
                <w:szCs w:val="20"/>
                <w:lang w:eastAsia="es-CR"/>
              </w:rPr>
            </w:pPr>
            <w:r w:rsidRPr="003A32B1">
              <w:rPr>
                <w:rFonts w:ascii="Book Antiqua" w:eastAsia="Times New Roman" w:hAnsi="Book Antiqua" w:cs="Times New Roman"/>
                <w:color w:val="000000"/>
                <w:sz w:val="20"/>
                <w:szCs w:val="20"/>
                <w:lang w:eastAsia="es-CR"/>
              </w:rPr>
              <w:t>19</w:t>
            </w:r>
          </w:p>
        </w:tc>
      </w:tr>
      <w:tr w:rsidR="00D90DCD" w:rsidRPr="00583F34" w14:paraId="7E1A5F57" w14:textId="77777777" w:rsidTr="00ED5C64">
        <w:trPr>
          <w:trHeight w:val="20"/>
        </w:trPr>
        <w:tc>
          <w:tcPr>
            <w:tcW w:w="4429" w:type="dxa"/>
            <w:vMerge/>
            <w:tcBorders>
              <w:top w:val="nil"/>
              <w:left w:val="double" w:sz="6" w:space="0" w:color="1F497D"/>
              <w:bottom w:val="double" w:sz="6" w:space="0" w:color="1F497D"/>
              <w:right w:val="double" w:sz="6" w:space="0" w:color="1F497D"/>
            </w:tcBorders>
            <w:vAlign w:val="center"/>
            <w:hideMark/>
          </w:tcPr>
          <w:p w14:paraId="4E73C047" w14:textId="77777777" w:rsidR="00D90DCD" w:rsidRPr="00FC7FC4" w:rsidRDefault="00D90DCD" w:rsidP="00410CC9">
            <w:pPr>
              <w:spacing w:after="0" w:line="240" w:lineRule="auto"/>
              <w:rPr>
                <w:rFonts w:ascii="Book Antiqua" w:eastAsia="Times New Roman" w:hAnsi="Book Antiqua" w:cs="Times New Roman"/>
                <w:color w:val="000000"/>
                <w:sz w:val="20"/>
                <w:szCs w:val="20"/>
                <w:lang w:eastAsia="es-CR"/>
              </w:rPr>
            </w:pPr>
          </w:p>
        </w:tc>
        <w:tc>
          <w:tcPr>
            <w:tcW w:w="953" w:type="dxa"/>
            <w:tcBorders>
              <w:top w:val="nil"/>
              <w:left w:val="nil"/>
              <w:bottom w:val="double" w:sz="6" w:space="0" w:color="1F497D"/>
              <w:right w:val="double" w:sz="6" w:space="0" w:color="1F497D"/>
            </w:tcBorders>
            <w:shd w:val="clear" w:color="auto" w:fill="auto"/>
            <w:vAlign w:val="center"/>
            <w:hideMark/>
          </w:tcPr>
          <w:p w14:paraId="49A43577" w14:textId="77777777" w:rsidR="00D90DCD" w:rsidRPr="00FC7FC4" w:rsidRDefault="00D90DCD" w:rsidP="00410CC9">
            <w:pPr>
              <w:spacing w:after="0" w:line="240" w:lineRule="auto"/>
              <w:jc w:val="right"/>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 xml:space="preserve">Laboral </w:t>
            </w:r>
          </w:p>
        </w:tc>
        <w:tc>
          <w:tcPr>
            <w:tcW w:w="992" w:type="dxa"/>
            <w:tcBorders>
              <w:top w:val="nil"/>
              <w:left w:val="nil"/>
              <w:bottom w:val="double" w:sz="6" w:space="0" w:color="1F497D"/>
              <w:right w:val="double" w:sz="6" w:space="0" w:color="1F497D"/>
            </w:tcBorders>
            <w:shd w:val="clear" w:color="auto" w:fill="auto"/>
            <w:noWrap/>
            <w:vAlign w:val="center"/>
            <w:hideMark/>
          </w:tcPr>
          <w:p w14:paraId="3BA3EF9F" w14:textId="77777777" w:rsidR="00D90DCD" w:rsidRPr="00FC7FC4" w:rsidRDefault="00D90DCD" w:rsidP="00410CC9">
            <w:pPr>
              <w:spacing w:after="0" w:line="240" w:lineRule="auto"/>
              <w:jc w:val="center"/>
              <w:rPr>
                <w:rFonts w:ascii="Book Antiqua" w:eastAsia="Times New Roman" w:hAnsi="Book Antiqua" w:cs="Times New Roman"/>
                <w:color w:val="000000"/>
                <w:sz w:val="20"/>
                <w:szCs w:val="20"/>
                <w:lang w:eastAsia="es-CR"/>
              </w:rPr>
            </w:pPr>
            <w:r w:rsidRPr="00FC7FC4">
              <w:rPr>
                <w:rFonts w:ascii="Book Antiqua" w:eastAsia="Times New Roman" w:hAnsi="Book Antiqua" w:cs="Times New Roman"/>
                <w:color w:val="000000"/>
                <w:sz w:val="20"/>
                <w:szCs w:val="20"/>
                <w:lang w:eastAsia="es-CR"/>
              </w:rPr>
              <w:t>896</w:t>
            </w:r>
          </w:p>
        </w:tc>
        <w:tc>
          <w:tcPr>
            <w:tcW w:w="1134" w:type="dxa"/>
            <w:vMerge/>
            <w:tcBorders>
              <w:top w:val="nil"/>
              <w:left w:val="double" w:sz="6" w:space="0" w:color="1F497D"/>
              <w:bottom w:val="double" w:sz="6" w:space="0" w:color="1F497D"/>
              <w:right w:val="double" w:sz="6" w:space="0" w:color="1F497D"/>
            </w:tcBorders>
            <w:vAlign w:val="center"/>
            <w:hideMark/>
          </w:tcPr>
          <w:p w14:paraId="1B2C74FD" w14:textId="77777777" w:rsidR="00D90DCD" w:rsidRPr="00FC7FC4" w:rsidRDefault="00D90DCD" w:rsidP="00410CC9">
            <w:pPr>
              <w:spacing w:after="0" w:line="240" w:lineRule="auto"/>
              <w:rPr>
                <w:rFonts w:ascii="Book Antiqua" w:eastAsia="Times New Roman" w:hAnsi="Book Antiqua" w:cs="Times New Roman"/>
                <w:color w:val="000000"/>
                <w:sz w:val="20"/>
                <w:szCs w:val="20"/>
                <w:lang w:eastAsia="es-CR"/>
              </w:rPr>
            </w:pPr>
          </w:p>
        </w:tc>
        <w:tc>
          <w:tcPr>
            <w:tcW w:w="1276" w:type="dxa"/>
            <w:tcBorders>
              <w:top w:val="nil"/>
              <w:left w:val="nil"/>
              <w:bottom w:val="double" w:sz="6" w:space="0" w:color="1F497D"/>
              <w:right w:val="double" w:sz="6" w:space="0" w:color="1F497D"/>
            </w:tcBorders>
            <w:shd w:val="clear" w:color="auto" w:fill="auto"/>
            <w:noWrap/>
            <w:vAlign w:val="center"/>
            <w:hideMark/>
          </w:tcPr>
          <w:p w14:paraId="1390D9AA" w14:textId="77777777" w:rsidR="00D90DCD" w:rsidRPr="00FC7FC4" w:rsidRDefault="00D90DCD" w:rsidP="00410CC9">
            <w:pPr>
              <w:spacing w:after="0" w:line="240" w:lineRule="auto"/>
              <w:jc w:val="center"/>
              <w:rPr>
                <w:rFonts w:ascii="Book Antiqua" w:eastAsia="Times New Roman" w:hAnsi="Book Antiqua" w:cs="Times New Roman"/>
                <w:b/>
                <w:bCs/>
                <w:color w:val="000000"/>
                <w:sz w:val="20"/>
                <w:szCs w:val="20"/>
                <w:lang w:eastAsia="es-CR"/>
              </w:rPr>
            </w:pPr>
            <w:r w:rsidRPr="00FC7FC4">
              <w:rPr>
                <w:rFonts w:ascii="Book Antiqua" w:eastAsia="Times New Roman" w:hAnsi="Book Antiqua" w:cs="Times New Roman"/>
                <w:b/>
                <w:bCs/>
                <w:color w:val="000000"/>
                <w:sz w:val="20"/>
                <w:szCs w:val="20"/>
                <w:lang w:eastAsia="es-CR"/>
              </w:rPr>
              <w:t>257</w:t>
            </w:r>
          </w:p>
        </w:tc>
        <w:tc>
          <w:tcPr>
            <w:tcW w:w="1134" w:type="dxa"/>
            <w:tcBorders>
              <w:top w:val="nil"/>
              <w:left w:val="nil"/>
              <w:bottom w:val="double" w:sz="6" w:space="0" w:color="1F497D"/>
              <w:right w:val="double" w:sz="6" w:space="0" w:color="1F497D"/>
            </w:tcBorders>
            <w:shd w:val="clear" w:color="auto" w:fill="auto"/>
            <w:noWrap/>
            <w:vAlign w:val="center"/>
            <w:hideMark/>
          </w:tcPr>
          <w:p w14:paraId="36FB1ABC" w14:textId="77777777" w:rsidR="00D90DCD" w:rsidRPr="00FC7FC4"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639</w:t>
            </w:r>
          </w:p>
        </w:tc>
        <w:tc>
          <w:tcPr>
            <w:tcW w:w="898" w:type="dxa"/>
            <w:vMerge/>
            <w:tcBorders>
              <w:top w:val="nil"/>
              <w:left w:val="double" w:sz="6" w:space="0" w:color="1F497D"/>
              <w:bottom w:val="double" w:sz="6" w:space="0" w:color="1F497D"/>
              <w:right w:val="double" w:sz="6" w:space="0" w:color="1F497D"/>
            </w:tcBorders>
            <w:vAlign w:val="center"/>
            <w:hideMark/>
          </w:tcPr>
          <w:p w14:paraId="5A3D7F2E" w14:textId="77777777" w:rsidR="00D90DCD" w:rsidRPr="003A32B1" w:rsidRDefault="00D90DCD" w:rsidP="00410CC9">
            <w:pPr>
              <w:spacing w:after="0" w:line="240" w:lineRule="auto"/>
              <w:rPr>
                <w:rFonts w:ascii="Book Antiqua" w:eastAsia="Times New Roman" w:hAnsi="Book Antiqua" w:cs="Times New Roman"/>
                <w:color w:val="000000"/>
                <w:sz w:val="20"/>
                <w:szCs w:val="20"/>
                <w:lang w:eastAsia="es-CR"/>
              </w:rPr>
            </w:pPr>
          </w:p>
        </w:tc>
        <w:tc>
          <w:tcPr>
            <w:tcW w:w="1090" w:type="dxa"/>
            <w:gridSpan w:val="2"/>
            <w:tcBorders>
              <w:top w:val="nil"/>
              <w:left w:val="nil"/>
              <w:bottom w:val="double" w:sz="6" w:space="0" w:color="1F497D"/>
              <w:right w:val="double" w:sz="6" w:space="0" w:color="1F497D"/>
            </w:tcBorders>
            <w:shd w:val="clear" w:color="auto" w:fill="auto"/>
            <w:vAlign w:val="center"/>
            <w:hideMark/>
          </w:tcPr>
          <w:p w14:paraId="0444DC3C" w14:textId="77777777" w:rsidR="00D90DCD" w:rsidRPr="003A32B1"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3A32B1">
              <w:rPr>
                <w:rFonts w:ascii="Book Antiqua" w:eastAsia="Times New Roman" w:hAnsi="Book Antiqua" w:cs="Times New Roman"/>
                <w:b/>
                <w:bCs/>
                <w:i/>
                <w:iCs/>
                <w:color w:val="000000"/>
                <w:sz w:val="20"/>
                <w:szCs w:val="20"/>
                <w:lang w:eastAsia="es-CR"/>
              </w:rPr>
              <w:t>9</w:t>
            </w:r>
          </w:p>
        </w:tc>
        <w:tc>
          <w:tcPr>
            <w:tcW w:w="1090" w:type="dxa"/>
            <w:vMerge/>
            <w:tcBorders>
              <w:top w:val="nil"/>
              <w:left w:val="double" w:sz="6" w:space="0" w:color="1F497D"/>
              <w:bottom w:val="double" w:sz="6" w:space="0" w:color="1F497D"/>
              <w:right w:val="double" w:sz="6" w:space="0" w:color="1F497D"/>
            </w:tcBorders>
            <w:vAlign w:val="center"/>
            <w:hideMark/>
          </w:tcPr>
          <w:p w14:paraId="60C19913" w14:textId="77777777" w:rsidR="00D90DCD" w:rsidRPr="003A32B1" w:rsidRDefault="00D90DCD" w:rsidP="00410CC9">
            <w:pPr>
              <w:spacing w:after="0" w:line="240" w:lineRule="auto"/>
              <w:rPr>
                <w:rFonts w:ascii="Book Antiqua" w:eastAsia="Times New Roman" w:hAnsi="Book Antiqua" w:cs="Times New Roman"/>
                <w:color w:val="000000"/>
                <w:sz w:val="20"/>
                <w:szCs w:val="20"/>
                <w:lang w:eastAsia="es-CR"/>
              </w:rPr>
            </w:pPr>
          </w:p>
        </w:tc>
      </w:tr>
      <w:tr w:rsidR="00D90DCD" w:rsidRPr="00583F34" w14:paraId="4DB6BBD7" w14:textId="77777777" w:rsidTr="00ED5C64">
        <w:trPr>
          <w:trHeight w:val="20"/>
        </w:trPr>
        <w:tc>
          <w:tcPr>
            <w:tcW w:w="4429" w:type="dxa"/>
            <w:vMerge w:val="restart"/>
            <w:tcBorders>
              <w:top w:val="nil"/>
              <w:left w:val="double" w:sz="6" w:space="0" w:color="1F497D"/>
              <w:bottom w:val="double" w:sz="6" w:space="0" w:color="1F497D"/>
              <w:right w:val="double" w:sz="6" w:space="0" w:color="1F497D"/>
            </w:tcBorders>
            <w:shd w:val="clear" w:color="000000" w:fill="DCE6F1"/>
            <w:noWrap/>
            <w:vAlign w:val="center"/>
            <w:hideMark/>
          </w:tcPr>
          <w:p w14:paraId="54C88CF5" w14:textId="77777777" w:rsidR="00D90DCD" w:rsidRPr="00FC7FC4" w:rsidRDefault="00D90DCD" w:rsidP="00410CC9">
            <w:pPr>
              <w:spacing w:after="0" w:line="240" w:lineRule="auto"/>
              <w:rPr>
                <w:rFonts w:ascii="Book Antiqua" w:eastAsia="Times New Roman" w:hAnsi="Book Antiqua" w:cs="Times New Roman"/>
                <w:color w:val="000000"/>
                <w:sz w:val="20"/>
                <w:szCs w:val="20"/>
                <w:lang w:eastAsia="es-CR"/>
              </w:rPr>
            </w:pPr>
            <w:r w:rsidRPr="00302589">
              <w:rPr>
                <w:rFonts w:ascii="Book Antiqua" w:eastAsia="Times New Roman" w:hAnsi="Book Antiqua" w:cs="Times New Roman"/>
                <w:color w:val="000000"/>
                <w:sz w:val="20"/>
                <w:szCs w:val="20"/>
                <w:lang w:eastAsia="es-CR"/>
              </w:rPr>
              <w:t xml:space="preserve">Tribunal de Apelación Civil y Trabajo de Puntarenas  </w:t>
            </w:r>
          </w:p>
        </w:tc>
        <w:tc>
          <w:tcPr>
            <w:tcW w:w="953" w:type="dxa"/>
            <w:tcBorders>
              <w:top w:val="nil"/>
              <w:left w:val="nil"/>
              <w:bottom w:val="double" w:sz="6" w:space="0" w:color="1F497D"/>
              <w:right w:val="double" w:sz="6" w:space="0" w:color="1F497D"/>
            </w:tcBorders>
            <w:shd w:val="clear" w:color="000000" w:fill="DCE6F1"/>
            <w:vAlign w:val="center"/>
            <w:hideMark/>
          </w:tcPr>
          <w:p w14:paraId="2CD472B0" w14:textId="77777777" w:rsidR="00D90DCD" w:rsidRPr="00FC7FC4" w:rsidRDefault="00D90DCD" w:rsidP="00410CC9">
            <w:pPr>
              <w:spacing w:after="0" w:line="240" w:lineRule="auto"/>
              <w:jc w:val="right"/>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 xml:space="preserve">Civil </w:t>
            </w:r>
          </w:p>
        </w:tc>
        <w:tc>
          <w:tcPr>
            <w:tcW w:w="992" w:type="dxa"/>
            <w:tcBorders>
              <w:top w:val="nil"/>
              <w:left w:val="nil"/>
              <w:bottom w:val="double" w:sz="6" w:space="0" w:color="1F497D"/>
              <w:right w:val="double" w:sz="6" w:space="0" w:color="1F497D"/>
            </w:tcBorders>
            <w:shd w:val="clear" w:color="000000" w:fill="DCE6F1"/>
            <w:noWrap/>
            <w:vAlign w:val="center"/>
            <w:hideMark/>
          </w:tcPr>
          <w:p w14:paraId="6D40A20D" w14:textId="77777777" w:rsidR="00D90DCD" w:rsidRPr="00FC7FC4" w:rsidRDefault="00D90DCD" w:rsidP="00410CC9">
            <w:pPr>
              <w:spacing w:after="0" w:line="240" w:lineRule="auto"/>
              <w:jc w:val="center"/>
              <w:rPr>
                <w:rFonts w:ascii="Book Antiqua" w:eastAsia="Times New Roman" w:hAnsi="Book Antiqua" w:cs="Times New Roman"/>
                <w:color w:val="000000"/>
                <w:sz w:val="20"/>
                <w:szCs w:val="20"/>
                <w:lang w:eastAsia="es-CR"/>
              </w:rPr>
            </w:pPr>
            <w:r w:rsidRPr="00FC7FC4">
              <w:rPr>
                <w:rFonts w:ascii="Book Antiqua" w:eastAsia="Times New Roman" w:hAnsi="Book Antiqua" w:cs="Times New Roman"/>
                <w:color w:val="000000"/>
                <w:sz w:val="20"/>
                <w:szCs w:val="20"/>
                <w:lang w:eastAsia="es-CR"/>
              </w:rPr>
              <w:t>525</w:t>
            </w:r>
          </w:p>
        </w:tc>
        <w:tc>
          <w:tcPr>
            <w:tcW w:w="1134" w:type="dxa"/>
            <w:vMerge w:val="restart"/>
            <w:tcBorders>
              <w:top w:val="nil"/>
              <w:left w:val="double" w:sz="6" w:space="0" w:color="1F497D"/>
              <w:bottom w:val="double" w:sz="6" w:space="0" w:color="1F497D"/>
              <w:right w:val="double" w:sz="6" w:space="0" w:color="1F497D"/>
            </w:tcBorders>
            <w:shd w:val="clear" w:color="000000" w:fill="DCE6F1"/>
            <w:noWrap/>
            <w:vAlign w:val="center"/>
            <w:hideMark/>
          </w:tcPr>
          <w:p w14:paraId="6395BDF0" w14:textId="77777777" w:rsidR="00D90DCD" w:rsidRPr="00FC7FC4" w:rsidRDefault="00D90DCD" w:rsidP="00410CC9">
            <w:pPr>
              <w:spacing w:after="0" w:line="240" w:lineRule="auto"/>
              <w:jc w:val="center"/>
              <w:rPr>
                <w:rFonts w:ascii="Book Antiqua" w:eastAsia="Times New Roman" w:hAnsi="Book Antiqua" w:cs="Times New Roman"/>
                <w:color w:val="000000"/>
                <w:sz w:val="20"/>
                <w:szCs w:val="20"/>
                <w:lang w:eastAsia="es-CR"/>
              </w:rPr>
            </w:pPr>
            <w:r w:rsidRPr="00FC7FC4">
              <w:rPr>
                <w:rFonts w:ascii="Book Antiqua" w:eastAsia="Times New Roman" w:hAnsi="Book Antiqua" w:cs="Times New Roman"/>
                <w:color w:val="000000"/>
                <w:sz w:val="20"/>
                <w:szCs w:val="20"/>
                <w:lang w:eastAsia="es-CR"/>
              </w:rPr>
              <w:t>1179</w:t>
            </w:r>
          </w:p>
        </w:tc>
        <w:tc>
          <w:tcPr>
            <w:tcW w:w="1276" w:type="dxa"/>
            <w:tcBorders>
              <w:top w:val="nil"/>
              <w:left w:val="nil"/>
              <w:bottom w:val="double" w:sz="6" w:space="0" w:color="1F497D"/>
              <w:right w:val="double" w:sz="6" w:space="0" w:color="1F497D"/>
            </w:tcBorders>
            <w:shd w:val="clear" w:color="000000" w:fill="DCE6F1"/>
            <w:noWrap/>
            <w:vAlign w:val="center"/>
            <w:hideMark/>
          </w:tcPr>
          <w:p w14:paraId="02A48BB7" w14:textId="77777777" w:rsidR="00D90DCD" w:rsidRPr="00FC7FC4" w:rsidRDefault="00D90DCD" w:rsidP="00410CC9">
            <w:pPr>
              <w:spacing w:after="0" w:line="240" w:lineRule="auto"/>
              <w:jc w:val="center"/>
              <w:rPr>
                <w:rFonts w:ascii="Book Antiqua" w:eastAsia="Times New Roman" w:hAnsi="Book Antiqua" w:cs="Times New Roman"/>
                <w:b/>
                <w:bCs/>
                <w:color w:val="000000"/>
                <w:sz w:val="20"/>
                <w:szCs w:val="20"/>
                <w:lang w:eastAsia="es-CR"/>
              </w:rPr>
            </w:pPr>
            <w:r w:rsidRPr="00FC7FC4">
              <w:rPr>
                <w:rFonts w:ascii="Book Antiqua" w:eastAsia="Times New Roman" w:hAnsi="Book Antiqua" w:cs="Times New Roman"/>
                <w:b/>
                <w:bCs/>
                <w:color w:val="000000"/>
                <w:sz w:val="20"/>
                <w:szCs w:val="20"/>
                <w:lang w:eastAsia="es-CR"/>
              </w:rPr>
              <w:t>143</w:t>
            </w:r>
          </w:p>
        </w:tc>
        <w:tc>
          <w:tcPr>
            <w:tcW w:w="1134" w:type="dxa"/>
            <w:tcBorders>
              <w:top w:val="nil"/>
              <w:left w:val="nil"/>
              <w:bottom w:val="double" w:sz="6" w:space="0" w:color="1F497D"/>
              <w:right w:val="double" w:sz="6" w:space="0" w:color="1F497D"/>
            </w:tcBorders>
            <w:shd w:val="clear" w:color="000000" w:fill="DCE6F1"/>
            <w:noWrap/>
            <w:vAlign w:val="center"/>
            <w:hideMark/>
          </w:tcPr>
          <w:p w14:paraId="7D9091B1" w14:textId="77777777" w:rsidR="00D90DCD" w:rsidRPr="00FC7FC4"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382</w:t>
            </w:r>
          </w:p>
        </w:tc>
        <w:tc>
          <w:tcPr>
            <w:tcW w:w="898" w:type="dxa"/>
            <w:vMerge w:val="restart"/>
            <w:tcBorders>
              <w:top w:val="nil"/>
              <w:left w:val="double" w:sz="6" w:space="0" w:color="1F497D"/>
              <w:bottom w:val="double" w:sz="6" w:space="0" w:color="1F497D"/>
              <w:right w:val="double" w:sz="6" w:space="0" w:color="1F497D"/>
            </w:tcBorders>
            <w:shd w:val="clear" w:color="000000" w:fill="DCE6F1"/>
            <w:noWrap/>
            <w:vAlign w:val="center"/>
            <w:hideMark/>
          </w:tcPr>
          <w:p w14:paraId="2E322592" w14:textId="77777777" w:rsidR="00D90DCD" w:rsidRPr="003A32B1" w:rsidRDefault="00D90DCD" w:rsidP="00410CC9">
            <w:pPr>
              <w:spacing w:after="0" w:line="240" w:lineRule="auto"/>
              <w:jc w:val="center"/>
              <w:rPr>
                <w:rFonts w:ascii="Book Antiqua" w:eastAsia="Times New Roman" w:hAnsi="Book Antiqua" w:cs="Times New Roman"/>
                <w:color w:val="000000"/>
                <w:sz w:val="20"/>
                <w:szCs w:val="20"/>
                <w:lang w:eastAsia="es-CR"/>
              </w:rPr>
            </w:pPr>
            <w:r w:rsidRPr="003A32B1">
              <w:rPr>
                <w:rFonts w:ascii="Book Antiqua" w:eastAsia="Times New Roman" w:hAnsi="Book Antiqua" w:cs="Times New Roman"/>
                <w:color w:val="000000"/>
                <w:sz w:val="20"/>
                <w:szCs w:val="20"/>
                <w:lang w:eastAsia="es-CR"/>
              </w:rPr>
              <w:t>3</w:t>
            </w:r>
          </w:p>
        </w:tc>
        <w:tc>
          <w:tcPr>
            <w:tcW w:w="1090" w:type="dxa"/>
            <w:gridSpan w:val="2"/>
            <w:tcBorders>
              <w:top w:val="nil"/>
              <w:left w:val="nil"/>
              <w:bottom w:val="double" w:sz="6" w:space="0" w:color="1F497D"/>
              <w:right w:val="double" w:sz="6" w:space="0" w:color="1F497D"/>
            </w:tcBorders>
            <w:shd w:val="clear" w:color="000000" w:fill="DCE6F1"/>
            <w:vAlign w:val="center"/>
            <w:hideMark/>
          </w:tcPr>
          <w:p w14:paraId="54D81C97" w14:textId="77777777" w:rsidR="00D90DCD" w:rsidRPr="003A32B1"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3A32B1">
              <w:rPr>
                <w:rFonts w:ascii="Book Antiqua" w:eastAsia="Times New Roman" w:hAnsi="Book Antiqua" w:cs="Times New Roman"/>
                <w:b/>
                <w:bCs/>
                <w:i/>
                <w:iCs/>
                <w:color w:val="000000"/>
                <w:sz w:val="20"/>
                <w:szCs w:val="20"/>
                <w:lang w:eastAsia="es-CR"/>
              </w:rPr>
              <w:t>6</w:t>
            </w:r>
          </w:p>
        </w:tc>
        <w:tc>
          <w:tcPr>
            <w:tcW w:w="1090" w:type="dxa"/>
            <w:vMerge w:val="restart"/>
            <w:tcBorders>
              <w:top w:val="nil"/>
              <w:left w:val="double" w:sz="6" w:space="0" w:color="1F497D"/>
              <w:bottom w:val="double" w:sz="6" w:space="0" w:color="1F497D"/>
              <w:right w:val="double" w:sz="6" w:space="0" w:color="1F497D"/>
            </w:tcBorders>
            <w:shd w:val="clear" w:color="000000" w:fill="DCE6F1"/>
            <w:noWrap/>
            <w:vAlign w:val="center"/>
            <w:hideMark/>
          </w:tcPr>
          <w:p w14:paraId="01CDC2CC" w14:textId="3CAF9DF2" w:rsidR="00D90DCD" w:rsidRPr="003A32B1" w:rsidRDefault="00D90DCD" w:rsidP="00410CC9">
            <w:pPr>
              <w:spacing w:after="0" w:line="240" w:lineRule="auto"/>
              <w:jc w:val="center"/>
              <w:rPr>
                <w:rFonts w:ascii="Book Antiqua" w:eastAsia="Times New Roman" w:hAnsi="Book Antiqua" w:cs="Times New Roman"/>
                <w:color w:val="000000"/>
                <w:sz w:val="20"/>
                <w:szCs w:val="20"/>
                <w:lang w:eastAsia="es-CR"/>
              </w:rPr>
            </w:pPr>
            <w:r w:rsidRPr="003A32B1">
              <w:rPr>
                <w:rFonts w:ascii="Book Antiqua" w:eastAsia="Times New Roman" w:hAnsi="Book Antiqua" w:cs="Times New Roman"/>
                <w:color w:val="000000"/>
                <w:sz w:val="20"/>
                <w:szCs w:val="20"/>
                <w:lang w:eastAsia="es-CR"/>
              </w:rPr>
              <w:t>1</w:t>
            </w:r>
            <w:r w:rsidR="00B84A44">
              <w:rPr>
                <w:rFonts w:ascii="Book Antiqua" w:eastAsia="Times New Roman" w:hAnsi="Book Antiqua" w:cs="Times New Roman"/>
                <w:color w:val="000000"/>
                <w:sz w:val="20"/>
                <w:szCs w:val="20"/>
                <w:lang w:eastAsia="es-CR"/>
              </w:rPr>
              <w:t>3</w:t>
            </w:r>
          </w:p>
        </w:tc>
      </w:tr>
      <w:tr w:rsidR="00D90DCD" w:rsidRPr="00583F34" w14:paraId="6C67F30C" w14:textId="77777777" w:rsidTr="00ED5C64">
        <w:trPr>
          <w:trHeight w:val="20"/>
        </w:trPr>
        <w:tc>
          <w:tcPr>
            <w:tcW w:w="4429" w:type="dxa"/>
            <w:vMerge/>
            <w:tcBorders>
              <w:top w:val="nil"/>
              <w:left w:val="double" w:sz="6" w:space="0" w:color="1F497D"/>
              <w:bottom w:val="double" w:sz="6" w:space="0" w:color="1F497D"/>
              <w:right w:val="double" w:sz="6" w:space="0" w:color="1F497D"/>
            </w:tcBorders>
            <w:vAlign w:val="center"/>
            <w:hideMark/>
          </w:tcPr>
          <w:p w14:paraId="7650F5A1" w14:textId="77777777" w:rsidR="00D90DCD" w:rsidRPr="00FC7FC4" w:rsidRDefault="00D90DCD" w:rsidP="00410CC9">
            <w:pPr>
              <w:spacing w:after="0" w:line="240" w:lineRule="auto"/>
              <w:rPr>
                <w:rFonts w:ascii="Book Antiqua" w:eastAsia="Times New Roman" w:hAnsi="Book Antiqua" w:cs="Times New Roman"/>
                <w:color w:val="000000"/>
                <w:sz w:val="20"/>
                <w:szCs w:val="20"/>
                <w:lang w:eastAsia="es-CR"/>
              </w:rPr>
            </w:pPr>
          </w:p>
        </w:tc>
        <w:tc>
          <w:tcPr>
            <w:tcW w:w="953" w:type="dxa"/>
            <w:tcBorders>
              <w:top w:val="nil"/>
              <w:left w:val="nil"/>
              <w:bottom w:val="double" w:sz="6" w:space="0" w:color="1F497D"/>
              <w:right w:val="double" w:sz="6" w:space="0" w:color="1F497D"/>
            </w:tcBorders>
            <w:shd w:val="clear" w:color="000000" w:fill="DCE6F1"/>
            <w:vAlign w:val="center"/>
            <w:hideMark/>
          </w:tcPr>
          <w:p w14:paraId="1AEC201F" w14:textId="77777777" w:rsidR="00D90DCD" w:rsidRPr="00FC7FC4" w:rsidRDefault="00D90DCD" w:rsidP="00410CC9">
            <w:pPr>
              <w:spacing w:after="0" w:line="240" w:lineRule="auto"/>
              <w:jc w:val="right"/>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 xml:space="preserve">Laboral </w:t>
            </w:r>
          </w:p>
        </w:tc>
        <w:tc>
          <w:tcPr>
            <w:tcW w:w="992" w:type="dxa"/>
            <w:tcBorders>
              <w:top w:val="nil"/>
              <w:left w:val="nil"/>
              <w:bottom w:val="double" w:sz="6" w:space="0" w:color="1F497D"/>
              <w:right w:val="double" w:sz="6" w:space="0" w:color="1F497D"/>
            </w:tcBorders>
            <w:shd w:val="clear" w:color="000000" w:fill="DCE6F1"/>
            <w:noWrap/>
            <w:vAlign w:val="center"/>
            <w:hideMark/>
          </w:tcPr>
          <w:p w14:paraId="6F98F7D6" w14:textId="77777777" w:rsidR="00D90DCD" w:rsidRPr="00FC7FC4" w:rsidRDefault="00D90DCD" w:rsidP="00410CC9">
            <w:pPr>
              <w:spacing w:after="0" w:line="240" w:lineRule="auto"/>
              <w:jc w:val="center"/>
              <w:rPr>
                <w:rFonts w:ascii="Book Antiqua" w:eastAsia="Times New Roman" w:hAnsi="Book Antiqua" w:cs="Times New Roman"/>
                <w:color w:val="000000"/>
                <w:sz w:val="20"/>
                <w:szCs w:val="20"/>
                <w:lang w:eastAsia="es-CR"/>
              </w:rPr>
            </w:pPr>
            <w:r w:rsidRPr="00FC7FC4">
              <w:rPr>
                <w:rFonts w:ascii="Book Antiqua" w:eastAsia="Times New Roman" w:hAnsi="Book Antiqua" w:cs="Times New Roman"/>
                <w:color w:val="000000"/>
                <w:sz w:val="20"/>
                <w:szCs w:val="20"/>
                <w:lang w:eastAsia="es-CR"/>
              </w:rPr>
              <w:t>654</w:t>
            </w:r>
          </w:p>
        </w:tc>
        <w:tc>
          <w:tcPr>
            <w:tcW w:w="1134" w:type="dxa"/>
            <w:vMerge/>
            <w:tcBorders>
              <w:top w:val="nil"/>
              <w:left w:val="double" w:sz="6" w:space="0" w:color="1F497D"/>
              <w:bottom w:val="double" w:sz="6" w:space="0" w:color="1F497D"/>
              <w:right w:val="double" w:sz="6" w:space="0" w:color="1F497D"/>
            </w:tcBorders>
            <w:vAlign w:val="center"/>
            <w:hideMark/>
          </w:tcPr>
          <w:p w14:paraId="5A68BDE2" w14:textId="77777777" w:rsidR="00D90DCD" w:rsidRPr="00FC7FC4" w:rsidRDefault="00D90DCD" w:rsidP="00410CC9">
            <w:pPr>
              <w:spacing w:after="0" w:line="240" w:lineRule="auto"/>
              <w:rPr>
                <w:rFonts w:ascii="Book Antiqua" w:eastAsia="Times New Roman" w:hAnsi="Book Antiqua" w:cs="Times New Roman"/>
                <w:color w:val="000000"/>
                <w:sz w:val="20"/>
                <w:szCs w:val="20"/>
                <w:lang w:eastAsia="es-CR"/>
              </w:rPr>
            </w:pPr>
          </w:p>
        </w:tc>
        <w:tc>
          <w:tcPr>
            <w:tcW w:w="1276" w:type="dxa"/>
            <w:tcBorders>
              <w:top w:val="nil"/>
              <w:left w:val="nil"/>
              <w:bottom w:val="double" w:sz="6" w:space="0" w:color="1F497D"/>
              <w:right w:val="double" w:sz="6" w:space="0" w:color="1F497D"/>
            </w:tcBorders>
            <w:shd w:val="clear" w:color="000000" w:fill="DCE6F1"/>
            <w:noWrap/>
            <w:vAlign w:val="center"/>
            <w:hideMark/>
          </w:tcPr>
          <w:p w14:paraId="7F496BBA" w14:textId="384B1838" w:rsidR="00D90DCD" w:rsidRPr="00302589" w:rsidRDefault="00981D58" w:rsidP="00410CC9">
            <w:pPr>
              <w:spacing w:after="0" w:line="240" w:lineRule="auto"/>
              <w:jc w:val="center"/>
              <w:rPr>
                <w:rFonts w:ascii="Book Antiqua" w:eastAsia="Times New Roman" w:hAnsi="Book Antiqua" w:cs="Times New Roman"/>
                <w:b/>
                <w:bCs/>
                <w:color w:val="000000"/>
                <w:sz w:val="20"/>
                <w:szCs w:val="20"/>
                <w:lang w:eastAsia="es-CR"/>
              </w:rPr>
            </w:pPr>
            <w:r w:rsidRPr="00EB031E">
              <w:rPr>
                <w:rFonts w:ascii="Book Antiqua" w:eastAsia="Times New Roman" w:hAnsi="Book Antiqua" w:cs="Times New Roman"/>
                <w:b/>
                <w:bCs/>
                <w:color w:val="000000"/>
                <w:sz w:val="20"/>
                <w:szCs w:val="20"/>
                <w:lang w:eastAsia="es-CR"/>
              </w:rPr>
              <w:t>131</w:t>
            </w:r>
          </w:p>
        </w:tc>
        <w:tc>
          <w:tcPr>
            <w:tcW w:w="1134" w:type="dxa"/>
            <w:tcBorders>
              <w:top w:val="nil"/>
              <w:left w:val="nil"/>
              <w:bottom w:val="double" w:sz="6" w:space="0" w:color="1F497D"/>
              <w:right w:val="double" w:sz="6" w:space="0" w:color="1F497D"/>
            </w:tcBorders>
            <w:shd w:val="clear" w:color="000000" w:fill="DCE6F1"/>
            <w:noWrap/>
            <w:vAlign w:val="center"/>
            <w:hideMark/>
          </w:tcPr>
          <w:p w14:paraId="3EB6BC9A" w14:textId="33ECE4E0" w:rsidR="00D90DCD" w:rsidRPr="00FC7FC4" w:rsidRDefault="00B84A44" w:rsidP="00410CC9">
            <w:pPr>
              <w:spacing w:after="0" w:line="240" w:lineRule="auto"/>
              <w:jc w:val="center"/>
              <w:rPr>
                <w:rFonts w:ascii="Book Antiqua" w:eastAsia="Times New Roman" w:hAnsi="Book Antiqua" w:cs="Times New Roman"/>
                <w:b/>
                <w:bCs/>
                <w:i/>
                <w:iCs/>
                <w:color w:val="000000"/>
                <w:sz w:val="20"/>
                <w:szCs w:val="20"/>
                <w:lang w:eastAsia="es-CR"/>
              </w:rPr>
            </w:pPr>
            <w:r w:rsidRPr="00FF7F8F">
              <w:rPr>
                <w:rFonts w:ascii="Book Antiqua" w:eastAsia="Times New Roman" w:hAnsi="Book Antiqua" w:cs="Times New Roman"/>
                <w:b/>
                <w:bCs/>
                <w:i/>
                <w:iCs/>
                <w:color w:val="000000"/>
                <w:sz w:val="20"/>
                <w:szCs w:val="20"/>
                <w:lang w:eastAsia="es-CR"/>
              </w:rPr>
              <w:t>523</w:t>
            </w:r>
          </w:p>
        </w:tc>
        <w:tc>
          <w:tcPr>
            <w:tcW w:w="898" w:type="dxa"/>
            <w:vMerge/>
            <w:tcBorders>
              <w:top w:val="nil"/>
              <w:left w:val="double" w:sz="6" w:space="0" w:color="1F497D"/>
              <w:bottom w:val="double" w:sz="6" w:space="0" w:color="1F497D"/>
              <w:right w:val="double" w:sz="6" w:space="0" w:color="1F497D"/>
            </w:tcBorders>
            <w:vAlign w:val="center"/>
            <w:hideMark/>
          </w:tcPr>
          <w:p w14:paraId="036E2781" w14:textId="77777777" w:rsidR="00D90DCD" w:rsidRPr="003A32B1" w:rsidRDefault="00D90DCD" w:rsidP="00410CC9">
            <w:pPr>
              <w:spacing w:after="0" w:line="240" w:lineRule="auto"/>
              <w:rPr>
                <w:rFonts w:ascii="Book Antiqua" w:eastAsia="Times New Roman" w:hAnsi="Book Antiqua" w:cs="Times New Roman"/>
                <w:color w:val="000000"/>
                <w:sz w:val="20"/>
                <w:szCs w:val="20"/>
                <w:lang w:eastAsia="es-CR"/>
              </w:rPr>
            </w:pPr>
          </w:p>
        </w:tc>
        <w:tc>
          <w:tcPr>
            <w:tcW w:w="1090" w:type="dxa"/>
            <w:gridSpan w:val="2"/>
            <w:tcBorders>
              <w:top w:val="nil"/>
              <w:left w:val="nil"/>
              <w:bottom w:val="double" w:sz="6" w:space="0" w:color="1F497D"/>
              <w:right w:val="double" w:sz="6" w:space="0" w:color="1F497D"/>
            </w:tcBorders>
            <w:shd w:val="clear" w:color="000000" w:fill="DCE6F1"/>
            <w:vAlign w:val="center"/>
            <w:hideMark/>
          </w:tcPr>
          <w:p w14:paraId="33EE453F" w14:textId="2215389F" w:rsidR="00D90DCD" w:rsidRPr="003A32B1" w:rsidRDefault="00B84A44" w:rsidP="00410CC9">
            <w:pPr>
              <w:spacing w:after="0" w:line="240" w:lineRule="auto"/>
              <w:jc w:val="center"/>
              <w:rPr>
                <w:rFonts w:ascii="Book Antiqua" w:eastAsia="Times New Roman" w:hAnsi="Book Antiqua" w:cs="Times New Roman"/>
                <w:b/>
                <w:bCs/>
                <w:i/>
                <w:iCs/>
                <w:color w:val="000000"/>
                <w:sz w:val="20"/>
                <w:szCs w:val="20"/>
                <w:lang w:eastAsia="es-CR"/>
              </w:rPr>
            </w:pPr>
            <w:r>
              <w:rPr>
                <w:rFonts w:ascii="Book Antiqua" w:eastAsia="Times New Roman" w:hAnsi="Book Antiqua" w:cs="Times New Roman"/>
                <w:b/>
                <w:bCs/>
                <w:i/>
                <w:iCs/>
                <w:color w:val="000000"/>
                <w:sz w:val="20"/>
                <w:szCs w:val="20"/>
                <w:lang w:eastAsia="es-CR"/>
              </w:rPr>
              <w:t>8</w:t>
            </w:r>
          </w:p>
        </w:tc>
        <w:tc>
          <w:tcPr>
            <w:tcW w:w="1090" w:type="dxa"/>
            <w:vMerge/>
            <w:tcBorders>
              <w:top w:val="nil"/>
              <w:left w:val="double" w:sz="6" w:space="0" w:color="1F497D"/>
              <w:bottom w:val="double" w:sz="6" w:space="0" w:color="1F497D"/>
              <w:right w:val="double" w:sz="6" w:space="0" w:color="1F497D"/>
            </w:tcBorders>
            <w:vAlign w:val="center"/>
            <w:hideMark/>
          </w:tcPr>
          <w:p w14:paraId="56E3635E" w14:textId="77777777" w:rsidR="00D90DCD" w:rsidRPr="003A32B1" w:rsidRDefault="00D90DCD" w:rsidP="00410CC9">
            <w:pPr>
              <w:spacing w:after="0" w:line="240" w:lineRule="auto"/>
              <w:rPr>
                <w:rFonts w:ascii="Book Antiqua" w:eastAsia="Times New Roman" w:hAnsi="Book Antiqua" w:cs="Times New Roman"/>
                <w:color w:val="000000"/>
                <w:sz w:val="20"/>
                <w:szCs w:val="20"/>
                <w:lang w:eastAsia="es-CR"/>
              </w:rPr>
            </w:pPr>
          </w:p>
        </w:tc>
      </w:tr>
      <w:tr w:rsidR="00D90DCD" w:rsidRPr="00583F34" w14:paraId="103F4222" w14:textId="77777777" w:rsidTr="00ED5C64">
        <w:trPr>
          <w:trHeight w:val="20"/>
        </w:trPr>
        <w:tc>
          <w:tcPr>
            <w:tcW w:w="4429"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6AE414C2" w14:textId="095BA766" w:rsidR="00D90DCD" w:rsidRPr="00FC7FC4" w:rsidRDefault="00D90DCD" w:rsidP="00410CC9">
            <w:pPr>
              <w:spacing w:after="0" w:line="240" w:lineRule="auto"/>
              <w:rPr>
                <w:rFonts w:ascii="Book Antiqua" w:eastAsia="Times New Roman" w:hAnsi="Book Antiqua" w:cs="Times New Roman"/>
                <w:color w:val="000000"/>
                <w:sz w:val="20"/>
                <w:szCs w:val="20"/>
                <w:lang w:eastAsia="es-CR"/>
              </w:rPr>
            </w:pPr>
            <w:r w:rsidRPr="00302589">
              <w:rPr>
                <w:rFonts w:ascii="Book Antiqua" w:eastAsia="Times New Roman" w:hAnsi="Book Antiqua" w:cs="Times New Roman"/>
                <w:color w:val="000000"/>
                <w:sz w:val="20"/>
                <w:szCs w:val="20"/>
                <w:lang w:eastAsia="es-CR"/>
              </w:rPr>
              <w:t xml:space="preserve">Tribunal de Apelación Civil y Trabajo </w:t>
            </w:r>
            <w:r w:rsidR="00AB41EF" w:rsidRPr="00FF7F8F">
              <w:rPr>
                <w:rFonts w:ascii="Book Antiqua" w:eastAsia="Times New Roman" w:hAnsi="Book Antiqua" w:cs="Times New Roman"/>
                <w:color w:val="000000"/>
                <w:sz w:val="20"/>
                <w:szCs w:val="20"/>
                <w:lang w:eastAsia="es-CR"/>
              </w:rPr>
              <w:t>de Guanacaste (Liberia)</w:t>
            </w:r>
          </w:p>
        </w:tc>
        <w:tc>
          <w:tcPr>
            <w:tcW w:w="953" w:type="dxa"/>
            <w:tcBorders>
              <w:top w:val="nil"/>
              <w:left w:val="nil"/>
              <w:bottom w:val="double" w:sz="6" w:space="0" w:color="1F497D"/>
              <w:right w:val="double" w:sz="6" w:space="0" w:color="1F497D"/>
            </w:tcBorders>
            <w:shd w:val="clear" w:color="auto" w:fill="auto"/>
            <w:vAlign w:val="center"/>
            <w:hideMark/>
          </w:tcPr>
          <w:p w14:paraId="4AFD4AFD" w14:textId="77777777" w:rsidR="00D90DCD" w:rsidRPr="00FC7FC4" w:rsidRDefault="00D90DCD" w:rsidP="00410CC9">
            <w:pPr>
              <w:spacing w:after="0" w:line="240" w:lineRule="auto"/>
              <w:jc w:val="right"/>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 xml:space="preserve">Civil </w:t>
            </w:r>
          </w:p>
        </w:tc>
        <w:tc>
          <w:tcPr>
            <w:tcW w:w="992" w:type="dxa"/>
            <w:tcBorders>
              <w:top w:val="nil"/>
              <w:left w:val="nil"/>
              <w:bottom w:val="double" w:sz="6" w:space="0" w:color="1F497D"/>
              <w:right w:val="double" w:sz="6" w:space="0" w:color="1F497D"/>
            </w:tcBorders>
            <w:shd w:val="clear" w:color="auto" w:fill="auto"/>
            <w:noWrap/>
            <w:vAlign w:val="center"/>
            <w:hideMark/>
          </w:tcPr>
          <w:p w14:paraId="7232B721" w14:textId="77777777" w:rsidR="00D90DCD" w:rsidRPr="00FC7FC4" w:rsidRDefault="00D90DCD" w:rsidP="00410CC9">
            <w:pPr>
              <w:spacing w:after="0" w:line="240" w:lineRule="auto"/>
              <w:jc w:val="center"/>
              <w:rPr>
                <w:rFonts w:ascii="Book Antiqua" w:eastAsia="Times New Roman" w:hAnsi="Book Antiqua" w:cs="Times New Roman"/>
                <w:color w:val="000000"/>
                <w:sz w:val="20"/>
                <w:szCs w:val="20"/>
                <w:lang w:eastAsia="es-CR"/>
              </w:rPr>
            </w:pPr>
            <w:r w:rsidRPr="00FC7FC4">
              <w:rPr>
                <w:rFonts w:ascii="Book Antiqua" w:eastAsia="Times New Roman" w:hAnsi="Book Antiqua" w:cs="Times New Roman"/>
                <w:color w:val="000000"/>
                <w:sz w:val="20"/>
                <w:szCs w:val="20"/>
                <w:lang w:eastAsia="es-CR"/>
              </w:rPr>
              <w:t>515</w:t>
            </w:r>
          </w:p>
        </w:tc>
        <w:tc>
          <w:tcPr>
            <w:tcW w:w="1134"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1EA86A6C" w14:textId="77777777" w:rsidR="00D90DCD" w:rsidRPr="00FC7FC4" w:rsidRDefault="00D90DCD" w:rsidP="00410CC9">
            <w:pPr>
              <w:spacing w:after="0" w:line="240" w:lineRule="auto"/>
              <w:jc w:val="center"/>
              <w:rPr>
                <w:rFonts w:ascii="Book Antiqua" w:eastAsia="Times New Roman" w:hAnsi="Book Antiqua" w:cs="Times New Roman"/>
                <w:color w:val="000000"/>
                <w:sz w:val="20"/>
                <w:szCs w:val="20"/>
                <w:lang w:eastAsia="es-CR"/>
              </w:rPr>
            </w:pPr>
            <w:r w:rsidRPr="00FC7FC4">
              <w:rPr>
                <w:rFonts w:ascii="Book Antiqua" w:eastAsia="Times New Roman" w:hAnsi="Book Antiqua" w:cs="Times New Roman"/>
                <w:color w:val="000000"/>
                <w:sz w:val="20"/>
                <w:szCs w:val="20"/>
                <w:lang w:eastAsia="es-CR"/>
              </w:rPr>
              <w:t>1082</w:t>
            </w:r>
          </w:p>
        </w:tc>
        <w:tc>
          <w:tcPr>
            <w:tcW w:w="1276" w:type="dxa"/>
            <w:tcBorders>
              <w:top w:val="nil"/>
              <w:left w:val="nil"/>
              <w:bottom w:val="double" w:sz="6" w:space="0" w:color="1F497D"/>
              <w:right w:val="double" w:sz="6" w:space="0" w:color="1F497D"/>
            </w:tcBorders>
            <w:shd w:val="clear" w:color="auto" w:fill="auto"/>
            <w:noWrap/>
            <w:vAlign w:val="center"/>
            <w:hideMark/>
          </w:tcPr>
          <w:p w14:paraId="3E076768" w14:textId="77777777" w:rsidR="00D90DCD" w:rsidRPr="00FC7FC4" w:rsidRDefault="00D90DCD" w:rsidP="00410CC9">
            <w:pPr>
              <w:spacing w:after="0" w:line="240" w:lineRule="auto"/>
              <w:jc w:val="center"/>
              <w:rPr>
                <w:rFonts w:ascii="Book Antiqua" w:eastAsia="Times New Roman" w:hAnsi="Book Antiqua" w:cs="Times New Roman"/>
                <w:b/>
                <w:bCs/>
                <w:color w:val="000000"/>
                <w:sz w:val="20"/>
                <w:szCs w:val="20"/>
                <w:lang w:eastAsia="es-CR"/>
              </w:rPr>
            </w:pPr>
            <w:r w:rsidRPr="00FC7FC4">
              <w:rPr>
                <w:rFonts w:ascii="Book Antiqua" w:eastAsia="Times New Roman" w:hAnsi="Book Antiqua" w:cs="Times New Roman"/>
                <w:b/>
                <w:bCs/>
                <w:color w:val="000000"/>
                <w:sz w:val="20"/>
                <w:szCs w:val="20"/>
                <w:lang w:eastAsia="es-CR"/>
              </w:rPr>
              <w:t>18</w:t>
            </w:r>
          </w:p>
        </w:tc>
        <w:tc>
          <w:tcPr>
            <w:tcW w:w="1134" w:type="dxa"/>
            <w:tcBorders>
              <w:top w:val="nil"/>
              <w:left w:val="nil"/>
              <w:bottom w:val="double" w:sz="6" w:space="0" w:color="1F497D"/>
              <w:right w:val="double" w:sz="6" w:space="0" w:color="1F497D"/>
            </w:tcBorders>
            <w:shd w:val="clear" w:color="auto" w:fill="auto"/>
            <w:noWrap/>
            <w:vAlign w:val="center"/>
            <w:hideMark/>
          </w:tcPr>
          <w:p w14:paraId="3D16E722" w14:textId="77777777" w:rsidR="00D90DCD" w:rsidRPr="00FC7FC4"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497</w:t>
            </w:r>
          </w:p>
        </w:tc>
        <w:tc>
          <w:tcPr>
            <w:tcW w:w="898"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32ADE1D6" w14:textId="77777777" w:rsidR="00D90DCD" w:rsidRPr="003A32B1" w:rsidRDefault="00D90DCD" w:rsidP="00410CC9">
            <w:pPr>
              <w:spacing w:after="0" w:line="240" w:lineRule="auto"/>
              <w:jc w:val="center"/>
              <w:rPr>
                <w:rFonts w:ascii="Book Antiqua" w:eastAsia="Times New Roman" w:hAnsi="Book Antiqua" w:cs="Times New Roman"/>
                <w:color w:val="000000"/>
                <w:sz w:val="20"/>
                <w:szCs w:val="20"/>
                <w:lang w:eastAsia="es-CR"/>
              </w:rPr>
            </w:pPr>
            <w:r w:rsidRPr="003A32B1">
              <w:rPr>
                <w:rFonts w:ascii="Book Antiqua" w:eastAsia="Times New Roman" w:hAnsi="Book Antiqua" w:cs="Times New Roman"/>
                <w:color w:val="000000"/>
                <w:sz w:val="20"/>
                <w:szCs w:val="20"/>
                <w:lang w:eastAsia="es-CR"/>
              </w:rPr>
              <w:t>3</w:t>
            </w:r>
          </w:p>
        </w:tc>
        <w:tc>
          <w:tcPr>
            <w:tcW w:w="1090" w:type="dxa"/>
            <w:gridSpan w:val="2"/>
            <w:tcBorders>
              <w:top w:val="nil"/>
              <w:left w:val="nil"/>
              <w:bottom w:val="double" w:sz="6" w:space="0" w:color="1F497D"/>
              <w:right w:val="double" w:sz="6" w:space="0" w:color="1F497D"/>
            </w:tcBorders>
            <w:shd w:val="clear" w:color="auto" w:fill="auto"/>
            <w:vAlign w:val="center"/>
            <w:hideMark/>
          </w:tcPr>
          <w:p w14:paraId="53BDAA74" w14:textId="77777777" w:rsidR="00D90DCD" w:rsidRPr="003A32B1"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3A32B1">
              <w:rPr>
                <w:rFonts w:ascii="Book Antiqua" w:eastAsia="Times New Roman" w:hAnsi="Book Antiqua" w:cs="Times New Roman"/>
                <w:b/>
                <w:bCs/>
                <w:i/>
                <w:iCs/>
                <w:color w:val="000000"/>
                <w:sz w:val="20"/>
                <w:szCs w:val="20"/>
                <w:lang w:eastAsia="es-CR"/>
              </w:rPr>
              <w:t>7</w:t>
            </w:r>
          </w:p>
        </w:tc>
        <w:tc>
          <w:tcPr>
            <w:tcW w:w="1090"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2E410A92" w14:textId="77777777" w:rsidR="00D90DCD" w:rsidRPr="003A32B1" w:rsidRDefault="00D90DCD" w:rsidP="00410CC9">
            <w:pPr>
              <w:spacing w:after="0" w:line="240" w:lineRule="auto"/>
              <w:jc w:val="center"/>
              <w:rPr>
                <w:rFonts w:ascii="Book Antiqua" w:eastAsia="Times New Roman" w:hAnsi="Book Antiqua" w:cs="Times New Roman"/>
                <w:color w:val="000000"/>
                <w:sz w:val="20"/>
                <w:szCs w:val="20"/>
                <w:lang w:eastAsia="es-CR"/>
              </w:rPr>
            </w:pPr>
            <w:r w:rsidRPr="003A32B1">
              <w:rPr>
                <w:rFonts w:ascii="Book Antiqua" w:eastAsia="Times New Roman" w:hAnsi="Book Antiqua" w:cs="Times New Roman"/>
                <w:color w:val="000000"/>
                <w:sz w:val="20"/>
                <w:szCs w:val="20"/>
                <w:lang w:eastAsia="es-CR"/>
              </w:rPr>
              <w:t>16</w:t>
            </w:r>
          </w:p>
        </w:tc>
      </w:tr>
      <w:tr w:rsidR="00D90DCD" w:rsidRPr="00583F34" w14:paraId="7DC6D6ED" w14:textId="77777777" w:rsidTr="00ED5C64">
        <w:trPr>
          <w:trHeight w:val="20"/>
        </w:trPr>
        <w:tc>
          <w:tcPr>
            <w:tcW w:w="4429" w:type="dxa"/>
            <w:vMerge/>
            <w:tcBorders>
              <w:top w:val="nil"/>
              <w:left w:val="double" w:sz="6" w:space="0" w:color="1F497D"/>
              <w:bottom w:val="double" w:sz="6" w:space="0" w:color="1F497D"/>
              <w:right w:val="double" w:sz="6" w:space="0" w:color="1F497D"/>
            </w:tcBorders>
            <w:vAlign w:val="center"/>
            <w:hideMark/>
          </w:tcPr>
          <w:p w14:paraId="65D8C394" w14:textId="77777777" w:rsidR="00D90DCD" w:rsidRPr="00FC7FC4" w:rsidRDefault="00D90DCD" w:rsidP="00410CC9">
            <w:pPr>
              <w:spacing w:after="0" w:line="240" w:lineRule="auto"/>
              <w:rPr>
                <w:rFonts w:ascii="Book Antiqua" w:eastAsia="Times New Roman" w:hAnsi="Book Antiqua" w:cs="Times New Roman"/>
                <w:color w:val="000000"/>
                <w:sz w:val="20"/>
                <w:szCs w:val="20"/>
                <w:lang w:eastAsia="es-CR"/>
              </w:rPr>
            </w:pPr>
          </w:p>
        </w:tc>
        <w:tc>
          <w:tcPr>
            <w:tcW w:w="953" w:type="dxa"/>
            <w:tcBorders>
              <w:top w:val="nil"/>
              <w:left w:val="nil"/>
              <w:bottom w:val="double" w:sz="6" w:space="0" w:color="1F497D"/>
              <w:right w:val="double" w:sz="6" w:space="0" w:color="1F497D"/>
            </w:tcBorders>
            <w:shd w:val="clear" w:color="auto" w:fill="auto"/>
            <w:vAlign w:val="center"/>
            <w:hideMark/>
          </w:tcPr>
          <w:p w14:paraId="47D3EB91" w14:textId="77777777" w:rsidR="00D90DCD" w:rsidRPr="00FC7FC4" w:rsidRDefault="00D90DCD" w:rsidP="00410CC9">
            <w:pPr>
              <w:spacing w:after="0" w:line="240" w:lineRule="auto"/>
              <w:jc w:val="right"/>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 xml:space="preserve">Laboral </w:t>
            </w:r>
          </w:p>
        </w:tc>
        <w:tc>
          <w:tcPr>
            <w:tcW w:w="992" w:type="dxa"/>
            <w:tcBorders>
              <w:top w:val="nil"/>
              <w:left w:val="nil"/>
              <w:bottom w:val="double" w:sz="6" w:space="0" w:color="1F497D"/>
              <w:right w:val="double" w:sz="6" w:space="0" w:color="1F497D"/>
            </w:tcBorders>
            <w:shd w:val="clear" w:color="auto" w:fill="auto"/>
            <w:noWrap/>
            <w:vAlign w:val="center"/>
            <w:hideMark/>
          </w:tcPr>
          <w:p w14:paraId="2800FB9C" w14:textId="77777777" w:rsidR="00D90DCD" w:rsidRPr="00FC7FC4" w:rsidRDefault="00D90DCD" w:rsidP="00410CC9">
            <w:pPr>
              <w:spacing w:after="0" w:line="240" w:lineRule="auto"/>
              <w:jc w:val="center"/>
              <w:rPr>
                <w:rFonts w:ascii="Book Antiqua" w:eastAsia="Times New Roman" w:hAnsi="Book Antiqua" w:cs="Times New Roman"/>
                <w:color w:val="000000"/>
                <w:sz w:val="20"/>
                <w:szCs w:val="20"/>
                <w:lang w:eastAsia="es-CR"/>
              </w:rPr>
            </w:pPr>
            <w:r w:rsidRPr="00FC7FC4">
              <w:rPr>
                <w:rFonts w:ascii="Book Antiqua" w:eastAsia="Times New Roman" w:hAnsi="Book Antiqua" w:cs="Times New Roman"/>
                <w:color w:val="000000"/>
                <w:sz w:val="20"/>
                <w:szCs w:val="20"/>
                <w:lang w:eastAsia="es-CR"/>
              </w:rPr>
              <w:t>567</w:t>
            </w:r>
          </w:p>
        </w:tc>
        <w:tc>
          <w:tcPr>
            <w:tcW w:w="1134" w:type="dxa"/>
            <w:vMerge/>
            <w:tcBorders>
              <w:top w:val="nil"/>
              <w:left w:val="double" w:sz="6" w:space="0" w:color="1F497D"/>
              <w:bottom w:val="double" w:sz="6" w:space="0" w:color="1F497D"/>
              <w:right w:val="double" w:sz="6" w:space="0" w:color="1F497D"/>
            </w:tcBorders>
            <w:vAlign w:val="center"/>
            <w:hideMark/>
          </w:tcPr>
          <w:p w14:paraId="48C152A8" w14:textId="77777777" w:rsidR="00D90DCD" w:rsidRPr="00FC7FC4" w:rsidRDefault="00D90DCD" w:rsidP="00410CC9">
            <w:pPr>
              <w:spacing w:after="0" w:line="240" w:lineRule="auto"/>
              <w:rPr>
                <w:rFonts w:ascii="Book Antiqua" w:eastAsia="Times New Roman" w:hAnsi="Book Antiqua" w:cs="Times New Roman"/>
                <w:color w:val="000000"/>
                <w:sz w:val="20"/>
                <w:szCs w:val="20"/>
                <w:lang w:eastAsia="es-CR"/>
              </w:rPr>
            </w:pPr>
          </w:p>
        </w:tc>
        <w:tc>
          <w:tcPr>
            <w:tcW w:w="1276" w:type="dxa"/>
            <w:tcBorders>
              <w:top w:val="nil"/>
              <w:left w:val="nil"/>
              <w:bottom w:val="double" w:sz="6" w:space="0" w:color="1F497D"/>
              <w:right w:val="double" w:sz="6" w:space="0" w:color="1F497D"/>
            </w:tcBorders>
            <w:shd w:val="clear" w:color="auto" w:fill="auto"/>
            <w:noWrap/>
            <w:vAlign w:val="center"/>
            <w:hideMark/>
          </w:tcPr>
          <w:p w14:paraId="3B8CDFB5" w14:textId="77777777" w:rsidR="00D90DCD" w:rsidRPr="00FC7FC4" w:rsidRDefault="00D90DCD" w:rsidP="00410CC9">
            <w:pPr>
              <w:spacing w:after="0" w:line="240" w:lineRule="auto"/>
              <w:jc w:val="center"/>
              <w:rPr>
                <w:rFonts w:ascii="Book Antiqua" w:eastAsia="Times New Roman" w:hAnsi="Book Antiqua" w:cs="Times New Roman"/>
                <w:b/>
                <w:bCs/>
                <w:color w:val="000000"/>
                <w:sz w:val="20"/>
                <w:szCs w:val="20"/>
                <w:lang w:eastAsia="es-CR"/>
              </w:rPr>
            </w:pPr>
            <w:r w:rsidRPr="00FC7FC4">
              <w:rPr>
                <w:rFonts w:ascii="Book Antiqua" w:eastAsia="Times New Roman" w:hAnsi="Book Antiqua" w:cs="Times New Roman"/>
                <w:b/>
                <w:bCs/>
                <w:color w:val="000000"/>
                <w:sz w:val="20"/>
                <w:szCs w:val="20"/>
                <w:lang w:eastAsia="es-CR"/>
              </w:rPr>
              <w:t>0</w:t>
            </w:r>
          </w:p>
        </w:tc>
        <w:tc>
          <w:tcPr>
            <w:tcW w:w="1134" w:type="dxa"/>
            <w:tcBorders>
              <w:top w:val="nil"/>
              <w:left w:val="nil"/>
              <w:bottom w:val="double" w:sz="6" w:space="0" w:color="1F497D"/>
              <w:right w:val="double" w:sz="6" w:space="0" w:color="1F497D"/>
            </w:tcBorders>
            <w:shd w:val="clear" w:color="auto" w:fill="auto"/>
            <w:noWrap/>
            <w:vAlign w:val="center"/>
            <w:hideMark/>
          </w:tcPr>
          <w:p w14:paraId="266EF314" w14:textId="77777777" w:rsidR="00D90DCD" w:rsidRPr="00FC7FC4"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567</w:t>
            </w:r>
          </w:p>
        </w:tc>
        <w:tc>
          <w:tcPr>
            <w:tcW w:w="898" w:type="dxa"/>
            <w:vMerge/>
            <w:tcBorders>
              <w:top w:val="nil"/>
              <w:left w:val="double" w:sz="6" w:space="0" w:color="1F497D"/>
              <w:bottom w:val="double" w:sz="6" w:space="0" w:color="1F497D"/>
              <w:right w:val="double" w:sz="6" w:space="0" w:color="1F497D"/>
            </w:tcBorders>
            <w:vAlign w:val="center"/>
            <w:hideMark/>
          </w:tcPr>
          <w:p w14:paraId="09701552" w14:textId="77777777" w:rsidR="00D90DCD" w:rsidRPr="003A32B1" w:rsidRDefault="00D90DCD" w:rsidP="00410CC9">
            <w:pPr>
              <w:spacing w:after="0" w:line="240" w:lineRule="auto"/>
              <w:rPr>
                <w:rFonts w:ascii="Book Antiqua" w:eastAsia="Times New Roman" w:hAnsi="Book Antiqua" w:cs="Times New Roman"/>
                <w:color w:val="000000"/>
                <w:sz w:val="20"/>
                <w:szCs w:val="20"/>
                <w:lang w:eastAsia="es-CR"/>
              </w:rPr>
            </w:pPr>
          </w:p>
        </w:tc>
        <w:tc>
          <w:tcPr>
            <w:tcW w:w="1090" w:type="dxa"/>
            <w:gridSpan w:val="2"/>
            <w:tcBorders>
              <w:top w:val="nil"/>
              <w:left w:val="nil"/>
              <w:bottom w:val="double" w:sz="6" w:space="0" w:color="1F497D"/>
              <w:right w:val="double" w:sz="6" w:space="0" w:color="1F497D"/>
            </w:tcBorders>
            <w:shd w:val="clear" w:color="auto" w:fill="auto"/>
            <w:vAlign w:val="center"/>
            <w:hideMark/>
          </w:tcPr>
          <w:p w14:paraId="2BEE901B" w14:textId="77777777" w:rsidR="00D90DCD" w:rsidRPr="003A32B1"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3A32B1">
              <w:rPr>
                <w:rFonts w:ascii="Book Antiqua" w:eastAsia="Times New Roman" w:hAnsi="Book Antiqua" w:cs="Times New Roman"/>
                <w:b/>
                <w:bCs/>
                <w:i/>
                <w:iCs/>
                <w:color w:val="000000"/>
                <w:sz w:val="20"/>
                <w:szCs w:val="20"/>
                <w:lang w:eastAsia="es-CR"/>
              </w:rPr>
              <w:t>8</w:t>
            </w:r>
          </w:p>
        </w:tc>
        <w:tc>
          <w:tcPr>
            <w:tcW w:w="1090" w:type="dxa"/>
            <w:vMerge/>
            <w:tcBorders>
              <w:top w:val="nil"/>
              <w:left w:val="double" w:sz="6" w:space="0" w:color="1F497D"/>
              <w:bottom w:val="double" w:sz="6" w:space="0" w:color="1F497D"/>
              <w:right w:val="double" w:sz="6" w:space="0" w:color="1F497D"/>
            </w:tcBorders>
            <w:vAlign w:val="center"/>
            <w:hideMark/>
          </w:tcPr>
          <w:p w14:paraId="7A1B20D0" w14:textId="77777777" w:rsidR="00D90DCD" w:rsidRPr="003A32B1" w:rsidRDefault="00D90DCD" w:rsidP="00410CC9">
            <w:pPr>
              <w:spacing w:after="0" w:line="240" w:lineRule="auto"/>
              <w:rPr>
                <w:rFonts w:ascii="Book Antiqua" w:eastAsia="Times New Roman" w:hAnsi="Book Antiqua" w:cs="Times New Roman"/>
                <w:color w:val="000000"/>
                <w:sz w:val="20"/>
                <w:szCs w:val="20"/>
                <w:lang w:eastAsia="es-CR"/>
              </w:rPr>
            </w:pPr>
          </w:p>
        </w:tc>
      </w:tr>
      <w:tr w:rsidR="00D90DCD" w:rsidRPr="00583F34" w14:paraId="28379DF1" w14:textId="77777777" w:rsidTr="00ED5C64">
        <w:trPr>
          <w:trHeight w:val="20"/>
        </w:trPr>
        <w:tc>
          <w:tcPr>
            <w:tcW w:w="4429" w:type="dxa"/>
            <w:vMerge w:val="restart"/>
            <w:tcBorders>
              <w:top w:val="nil"/>
              <w:left w:val="double" w:sz="6" w:space="0" w:color="1F497D"/>
              <w:bottom w:val="double" w:sz="6" w:space="0" w:color="1F497D"/>
              <w:right w:val="double" w:sz="6" w:space="0" w:color="1F497D"/>
            </w:tcBorders>
            <w:shd w:val="clear" w:color="000000" w:fill="DCE6F1"/>
            <w:noWrap/>
            <w:vAlign w:val="center"/>
            <w:hideMark/>
          </w:tcPr>
          <w:p w14:paraId="50303C9B" w14:textId="1C319E64" w:rsidR="00D90DCD" w:rsidRPr="00FC7FC4" w:rsidRDefault="00D90DCD" w:rsidP="00410CC9">
            <w:pPr>
              <w:spacing w:after="0" w:line="240" w:lineRule="auto"/>
              <w:rPr>
                <w:rFonts w:ascii="Book Antiqua" w:eastAsia="Times New Roman" w:hAnsi="Book Antiqua" w:cs="Times New Roman"/>
                <w:color w:val="000000"/>
                <w:sz w:val="20"/>
                <w:szCs w:val="20"/>
                <w:lang w:eastAsia="es-CR"/>
              </w:rPr>
            </w:pPr>
            <w:r w:rsidRPr="00302589">
              <w:rPr>
                <w:rFonts w:ascii="Book Antiqua" w:eastAsia="Times New Roman" w:hAnsi="Book Antiqua" w:cs="Times New Roman"/>
                <w:color w:val="000000"/>
                <w:sz w:val="20"/>
                <w:szCs w:val="20"/>
                <w:lang w:eastAsia="es-CR"/>
              </w:rPr>
              <w:t xml:space="preserve">Tribunal de Apelación Civil y Trabajo de </w:t>
            </w:r>
            <w:r w:rsidR="00AB41EF" w:rsidRPr="00FF7F8F">
              <w:rPr>
                <w:rFonts w:ascii="Book Antiqua" w:eastAsia="Times New Roman" w:hAnsi="Book Antiqua" w:cs="Times New Roman"/>
                <w:color w:val="000000"/>
                <w:sz w:val="20"/>
                <w:szCs w:val="20"/>
                <w:lang w:eastAsia="es-CR"/>
              </w:rPr>
              <w:t>la Zona Atlántica (Limón)</w:t>
            </w:r>
          </w:p>
        </w:tc>
        <w:tc>
          <w:tcPr>
            <w:tcW w:w="953" w:type="dxa"/>
            <w:tcBorders>
              <w:top w:val="nil"/>
              <w:left w:val="nil"/>
              <w:bottom w:val="double" w:sz="6" w:space="0" w:color="1F497D"/>
              <w:right w:val="double" w:sz="6" w:space="0" w:color="1F497D"/>
            </w:tcBorders>
            <w:shd w:val="clear" w:color="000000" w:fill="DCE6F1"/>
            <w:vAlign w:val="center"/>
            <w:hideMark/>
          </w:tcPr>
          <w:p w14:paraId="6591DF8C" w14:textId="77777777" w:rsidR="00D90DCD" w:rsidRPr="00FC7FC4" w:rsidRDefault="00D90DCD" w:rsidP="00410CC9">
            <w:pPr>
              <w:spacing w:after="0" w:line="240" w:lineRule="auto"/>
              <w:jc w:val="right"/>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 xml:space="preserve">Civil </w:t>
            </w:r>
          </w:p>
        </w:tc>
        <w:tc>
          <w:tcPr>
            <w:tcW w:w="992" w:type="dxa"/>
            <w:tcBorders>
              <w:top w:val="nil"/>
              <w:left w:val="nil"/>
              <w:bottom w:val="double" w:sz="6" w:space="0" w:color="1F497D"/>
              <w:right w:val="double" w:sz="6" w:space="0" w:color="1F497D"/>
            </w:tcBorders>
            <w:shd w:val="clear" w:color="000000" w:fill="DCE6F1"/>
            <w:noWrap/>
            <w:vAlign w:val="center"/>
            <w:hideMark/>
          </w:tcPr>
          <w:p w14:paraId="2839E483" w14:textId="77777777" w:rsidR="00D90DCD" w:rsidRPr="00FC7FC4" w:rsidRDefault="00D90DCD" w:rsidP="00410CC9">
            <w:pPr>
              <w:spacing w:after="0" w:line="240" w:lineRule="auto"/>
              <w:jc w:val="center"/>
              <w:rPr>
                <w:rFonts w:ascii="Book Antiqua" w:eastAsia="Times New Roman" w:hAnsi="Book Antiqua" w:cs="Times New Roman"/>
                <w:color w:val="000000"/>
                <w:sz w:val="20"/>
                <w:szCs w:val="20"/>
                <w:lang w:eastAsia="es-CR"/>
              </w:rPr>
            </w:pPr>
            <w:r w:rsidRPr="00FC7FC4">
              <w:rPr>
                <w:rFonts w:ascii="Book Antiqua" w:eastAsia="Times New Roman" w:hAnsi="Book Antiqua" w:cs="Times New Roman"/>
                <w:color w:val="000000"/>
                <w:sz w:val="20"/>
                <w:szCs w:val="20"/>
                <w:lang w:eastAsia="es-CR"/>
              </w:rPr>
              <w:t>485</w:t>
            </w:r>
          </w:p>
        </w:tc>
        <w:tc>
          <w:tcPr>
            <w:tcW w:w="1134" w:type="dxa"/>
            <w:vMerge w:val="restart"/>
            <w:tcBorders>
              <w:top w:val="nil"/>
              <w:left w:val="double" w:sz="6" w:space="0" w:color="1F497D"/>
              <w:bottom w:val="double" w:sz="6" w:space="0" w:color="1F497D"/>
              <w:right w:val="double" w:sz="6" w:space="0" w:color="1F497D"/>
            </w:tcBorders>
            <w:shd w:val="clear" w:color="000000" w:fill="DCE6F1"/>
            <w:noWrap/>
            <w:vAlign w:val="center"/>
            <w:hideMark/>
          </w:tcPr>
          <w:p w14:paraId="50004995" w14:textId="77777777" w:rsidR="00D90DCD" w:rsidRPr="00FC7FC4" w:rsidRDefault="00D90DCD" w:rsidP="00410CC9">
            <w:pPr>
              <w:spacing w:after="0" w:line="240" w:lineRule="auto"/>
              <w:jc w:val="center"/>
              <w:rPr>
                <w:rFonts w:ascii="Book Antiqua" w:eastAsia="Times New Roman" w:hAnsi="Book Antiqua" w:cs="Times New Roman"/>
                <w:color w:val="000000"/>
                <w:sz w:val="20"/>
                <w:szCs w:val="20"/>
                <w:lang w:eastAsia="es-CR"/>
              </w:rPr>
            </w:pPr>
            <w:r w:rsidRPr="00FC7FC4">
              <w:rPr>
                <w:rFonts w:ascii="Book Antiqua" w:eastAsia="Times New Roman" w:hAnsi="Book Antiqua" w:cs="Times New Roman"/>
                <w:color w:val="000000"/>
                <w:sz w:val="20"/>
                <w:szCs w:val="20"/>
                <w:lang w:eastAsia="es-CR"/>
              </w:rPr>
              <w:t>1259</w:t>
            </w:r>
          </w:p>
        </w:tc>
        <w:tc>
          <w:tcPr>
            <w:tcW w:w="1276" w:type="dxa"/>
            <w:tcBorders>
              <w:top w:val="nil"/>
              <w:left w:val="nil"/>
              <w:bottom w:val="double" w:sz="6" w:space="0" w:color="1F497D"/>
              <w:right w:val="double" w:sz="6" w:space="0" w:color="1F497D"/>
            </w:tcBorders>
            <w:shd w:val="clear" w:color="000000" w:fill="DCE6F1"/>
            <w:noWrap/>
            <w:vAlign w:val="center"/>
            <w:hideMark/>
          </w:tcPr>
          <w:p w14:paraId="3613CAB9" w14:textId="77777777" w:rsidR="00D90DCD" w:rsidRPr="00FC7FC4" w:rsidRDefault="00D90DCD" w:rsidP="00410CC9">
            <w:pPr>
              <w:spacing w:after="0" w:line="240" w:lineRule="auto"/>
              <w:jc w:val="center"/>
              <w:rPr>
                <w:rFonts w:ascii="Book Antiqua" w:eastAsia="Times New Roman" w:hAnsi="Book Antiqua" w:cs="Times New Roman"/>
                <w:b/>
                <w:bCs/>
                <w:color w:val="000000"/>
                <w:sz w:val="20"/>
                <w:szCs w:val="20"/>
                <w:lang w:eastAsia="es-CR"/>
              </w:rPr>
            </w:pPr>
            <w:r w:rsidRPr="00FC7FC4">
              <w:rPr>
                <w:rFonts w:ascii="Book Antiqua" w:eastAsia="Times New Roman" w:hAnsi="Book Antiqua" w:cs="Times New Roman"/>
                <w:b/>
                <w:bCs/>
                <w:color w:val="000000"/>
                <w:sz w:val="20"/>
                <w:szCs w:val="20"/>
                <w:lang w:eastAsia="es-CR"/>
              </w:rPr>
              <w:t>10</w:t>
            </w:r>
          </w:p>
        </w:tc>
        <w:tc>
          <w:tcPr>
            <w:tcW w:w="1134" w:type="dxa"/>
            <w:tcBorders>
              <w:top w:val="nil"/>
              <w:left w:val="nil"/>
              <w:bottom w:val="double" w:sz="6" w:space="0" w:color="1F497D"/>
              <w:right w:val="double" w:sz="6" w:space="0" w:color="1F497D"/>
            </w:tcBorders>
            <w:shd w:val="clear" w:color="000000" w:fill="DCE6F1"/>
            <w:noWrap/>
            <w:vAlign w:val="center"/>
            <w:hideMark/>
          </w:tcPr>
          <w:p w14:paraId="3054DCC5" w14:textId="77777777" w:rsidR="00D90DCD" w:rsidRPr="00FC7FC4"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475</w:t>
            </w:r>
          </w:p>
        </w:tc>
        <w:tc>
          <w:tcPr>
            <w:tcW w:w="898" w:type="dxa"/>
            <w:vMerge w:val="restart"/>
            <w:tcBorders>
              <w:top w:val="nil"/>
              <w:left w:val="double" w:sz="6" w:space="0" w:color="1F497D"/>
              <w:bottom w:val="double" w:sz="6" w:space="0" w:color="1F497D"/>
              <w:right w:val="double" w:sz="6" w:space="0" w:color="1F497D"/>
            </w:tcBorders>
            <w:shd w:val="clear" w:color="000000" w:fill="DCE6F1"/>
            <w:noWrap/>
            <w:vAlign w:val="center"/>
            <w:hideMark/>
          </w:tcPr>
          <w:p w14:paraId="42A648EF" w14:textId="77777777" w:rsidR="00D90DCD" w:rsidRPr="003A32B1" w:rsidRDefault="00D90DCD" w:rsidP="00410CC9">
            <w:pPr>
              <w:spacing w:after="0" w:line="240" w:lineRule="auto"/>
              <w:jc w:val="center"/>
              <w:rPr>
                <w:rFonts w:ascii="Book Antiqua" w:eastAsia="Times New Roman" w:hAnsi="Book Antiqua" w:cs="Times New Roman"/>
                <w:color w:val="000000"/>
                <w:sz w:val="20"/>
                <w:szCs w:val="20"/>
                <w:lang w:eastAsia="es-CR"/>
              </w:rPr>
            </w:pPr>
            <w:r w:rsidRPr="003A32B1">
              <w:rPr>
                <w:rFonts w:ascii="Book Antiqua" w:eastAsia="Times New Roman" w:hAnsi="Book Antiqua" w:cs="Times New Roman"/>
                <w:color w:val="000000"/>
                <w:sz w:val="20"/>
                <w:szCs w:val="20"/>
                <w:lang w:eastAsia="es-CR"/>
              </w:rPr>
              <w:t>4</w:t>
            </w:r>
          </w:p>
        </w:tc>
        <w:tc>
          <w:tcPr>
            <w:tcW w:w="1090" w:type="dxa"/>
            <w:gridSpan w:val="2"/>
            <w:tcBorders>
              <w:top w:val="nil"/>
              <w:left w:val="nil"/>
              <w:bottom w:val="double" w:sz="6" w:space="0" w:color="1F497D"/>
              <w:right w:val="double" w:sz="6" w:space="0" w:color="1F497D"/>
            </w:tcBorders>
            <w:shd w:val="clear" w:color="000000" w:fill="DCE6F1"/>
            <w:vAlign w:val="center"/>
            <w:hideMark/>
          </w:tcPr>
          <w:p w14:paraId="0048CABA" w14:textId="77777777" w:rsidR="00D90DCD" w:rsidRPr="003A32B1"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3A32B1">
              <w:rPr>
                <w:rFonts w:ascii="Book Antiqua" w:eastAsia="Times New Roman" w:hAnsi="Book Antiqua" w:cs="Times New Roman"/>
                <w:b/>
                <w:bCs/>
                <w:i/>
                <w:iCs/>
                <w:color w:val="000000"/>
                <w:sz w:val="20"/>
                <w:szCs w:val="20"/>
                <w:lang w:eastAsia="es-CR"/>
              </w:rPr>
              <w:t>5</w:t>
            </w:r>
          </w:p>
        </w:tc>
        <w:tc>
          <w:tcPr>
            <w:tcW w:w="1090" w:type="dxa"/>
            <w:vMerge w:val="restart"/>
            <w:tcBorders>
              <w:top w:val="nil"/>
              <w:left w:val="double" w:sz="6" w:space="0" w:color="1F497D"/>
              <w:bottom w:val="double" w:sz="6" w:space="0" w:color="1F497D"/>
              <w:right w:val="double" w:sz="6" w:space="0" w:color="1F497D"/>
            </w:tcBorders>
            <w:shd w:val="clear" w:color="000000" w:fill="DCE6F1"/>
            <w:noWrap/>
            <w:vAlign w:val="center"/>
            <w:hideMark/>
          </w:tcPr>
          <w:p w14:paraId="0395E324" w14:textId="77777777" w:rsidR="00D90DCD" w:rsidRPr="003A32B1" w:rsidRDefault="00D90DCD" w:rsidP="00410CC9">
            <w:pPr>
              <w:spacing w:after="0" w:line="240" w:lineRule="auto"/>
              <w:jc w:val="center"/>
              <w:rPr>
                <w:rFonts w:ascii="Book Antiqua" w:eastAsia="Times New Roman" w:hAnsi="Book Antiqua" w:cs="Times New Roman"/>
                <w:color w:val="000000"/>
                <w:sz w:val="20"/>
                <w:szCs w:val="20"/>
                <w:lang w:eastAsia="es-CR"/>
              </w:rPr>
            </w:pPr>
            <w:r w:rsidRPr="003A32B1">
              <w:rPr>
                <w:rFonts w:ascii="Book Antiqua" w:eastAsia="Times New Roman" w:hAnsi="Book Antiqua" w:cs="Times New Roman"/>
                <w:color w:val="000000"/>
                <w:sz w:val="20"/>
                <w:szCs w:val="20"/>
                <w:lang w:eastAsia="es-CR"/>
              </w:rPr>
              <w:t>14</w:t>
            </w:r>
          </w:p>
        </w:tc>
      </w:tr>
      <w:tr w:rsidR="00D90DCD" w:rsidRPr="00583F34" w14:paraId="47A5E44C" w14:textId="77777777" w:rsidTr="00ED5C64">
        <w:trPr>
          <w:trHeight w:val="20"/>
        </w:trPr>
        <w:tc>
          <w:tcPr>
            <w:tcW w:w="4429" w:type="dxa"/>
            <w:vMerge/>
            <w:tcBorders>
              <w:top w:val="nil"/>
              <w:left w:val="double" w:sz="6" w:space="0" w:color="1F497D"/>
              <w:bottom w:val="double" w:sz="6" w:space="0" w:color="1F497D"/>
              <w:right w:val="double" w:sz="6" w:space="0" w:color="1F497D"/>
            </w:tcBorders>
            <w:vAlign w:val="center"/>
            <w:hideMark/>
          </w:tcPr>
          <w:p w14:paraId="78B301CC" w14:textId="77777777" w:rsidR="00D90DCD" w:rsidRPr="00FC7FC4" w:rsidRDefault="00D90DCD" w:rsidP="00410CC9">
            <w:pPr>
              <w:spacing w:after="0" w:line="240" w:lineRule="auto"/>
              <w:rPr>
                <w:rFonts w:ascii="Book Antiqua" w:eastAsia="Times New Roman" w:hAnsi="Book Antiqua" w:cs="Times New Roman"/>
                <w:color w:val="000000"/>
                <w:sz w:val="20"/>
                <w:szCs w:val="20"/>
                <w:lang w:eastAsia="es-CR"/>
              </w:rPr>
            </w:pPr>
          </w:p>
        </w:tc>
        <w:tc>
          <w:tcPr>
            <w:tcW w:w="953" w:type="dxa"/>
            <w:tcBorders>
              <w:top w:val="nil"/>
              <w:left w:val="nil"/>
              <w:bottom w:val="double" w:sz="6" w:space="0" w:color="1F497D"/>
              <w:right w:val="double" w:sz="6" w:space="0" w:color="1F497D"/>
            </w:tcBorders>
            <w:shd w:val="clear" w:color="000000" w:fill="DCE6F1"/>
            <w:vAlign w:val="center"/>
            <w:hideMark/>
          </w:tcPr>
          <w:p w14:paraId="0658E191" w14:textId="77777777" w:rsidR="00D90DCD" w:rsidRPr="00FC7FC4" w:rsidRDefault="00D90DCD" w:rsidP="00410CC9">
            <w:pPr>
              <w:spacing w:after="0" w:line="240" w:lineRule="auto"/>
              <w:jc w:val="right"/>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 xml:space="preserve">Laboral </w:t>
            </w:r>
          </w:p>
        </w:tc>
        <w:tc>
          <w:tcPr>
            <w:tcW w:w="992" w:type="dxa"/>
            <w:tcBorders>
              <w:top w:val="nil"/>
              <w:left w:val="nil"/>
              <w:bottom w:val="double" w:sz="6" w:space="0" w:color="1F497D"/>
              <w:right w:val="double" w:sz="6" w:space="0" w:color="1F497D"/>
            </w:tcBorders>
            <w:shd w:val="clear" w:color="000000" w:fill="DCE6F1"/>
            <w:noWrap/>
            <w:vAlign w:val="center"/>
            <w:hideMark/>
          </w:tcPr>
          <w:p w14:paraId="1AD22981" w14:textId="77777777" w:rsidR="00D90DCD" w:rsidRPr="00FC7FC4" w:rsidRDefault="00D90DCD" w:rsidP="00410CC9">
            <w:pPr>
              <w:spacing w:after="0" w:line="240" w:lineRule="auto"/>
              <w:jc w:val="center"/>
              <w:rPr>
                <w:rFonts w:ascii="Book Antiqua" w:eastAsia="Times New Roman" w:hAnsi="Book Antiqua" w:cs="Times New Roman"/>
                <w:color w:val="000000"/>
                <w:sz w:val="20"/>
                <w:szCs w:val="20"/>
                <w:lang w:eastAsia="es-CR"/>
              </w:rPr>
            </w:pPr>
            <w:r w:rsidRPr="00FC7FC4">
              <w:rPr>
                <w:rFonts w:ascii="Book Antiqua" w:eastAsia="Times New Roman" w:hAnsi="Book Antiqua" w:cs="Times New Roman"/>
                <w:color w:val="000000"/>
                <w:sz w:val="20"/>
                <w:szCs w:val="20"/>
                <w:lang w:eastAsia="es-CR"/>
              </w:rPr>
              <w:t>774</w:t>
            </w:r>
          </w:p>
        </w:tc>
        <w:tc>
          <w:tcPr>
            <w:tcW w:w="1134" w:type="dxa"/>
            <w:vMerge/>
            <w:tcBorders>
              <w:top w:val="nil"/>
              <w:left w:val="double" w:sz="6" w:space="0" w:color="1F497D"/>
              <w:bottom w:val="double" w:sz="6" w:space="0" w:color="1F497D"/>
              <w:right w:val="double" w:sz="6" w:space="0" w:color="1F497D"/>
            </w:tcBorders>
            <w:vAlign w:val="center"/>
            <w:hideMark/>
          </w:tcPr>
          <w:p w14:paraId="0B8F0BB0" w14:textId="77777777" w:rsidR="00D90DCD" w:rsidRPr="00FC7FC4" w:rsidRDefault="00D90DCD" w:rsidP="00410CC9">
            <w:pPr>
              <w:spacing w:after="0" w:line="240" w:lineRule="auto"/>
              <w:rPr>
                <w:rFonts w:ascii="Book Antiqua" w:eastAsia="Times New Roman" w:hAnsi="Book Antiqua" w:cs="Times New Roman"/>
                <w:color w:val="000000"/>
                <w:sz w:val="20"/>
                <w:szCs w:val="20"/>
                <w:lang w:eastAsia="es-CR"/>
              </w:rPr>
            </w:pPr>
          </w:p>
        </w:tc>
        <w:tc>
          <w:tcPr>
            <w:tcW w:w="1276" w:type="dxa"/>
            <w:tcBorders>
              <w:top w:val="nil"/>
              <w:left w:val="nil"/>
              <w:bottom w:val="double" w:sz="6" w:space="0" w:color="1F497D"/>
              <w:right w:val="double" w:sz="6" w:space="0" w:color="1F497D"/>
            </w:tcBorders>
            <w:shd w:val="clear" w:color="000000" w:fill="DCE6F1"/>
            <w:noWrap/>
            <w:vAlign w:val="center"/>
            <w:hideMark/>
          </w:tcPr>
          <w:p w14:paraId="09C01FE7" w14:textId="77777777" w:rsidR="00D90DCD" w:rsidRPr="00FC7FC4" w:rsidRDefault="00D90DCD" w:rsidP="00410CC9">
            <w:pPr>
              <w:spacing w:after="0" w:line="240" w:lineRule="auto"/>
              <w:jc w:val="center"/>
              <w:rPr>
                <w:rFonts w:ascii="Book Antiqua" w:eastAsia="Times New Roman" w:hAnsi="Book Antiqua" w:cs="Times New Roman"/>
                <w:b/>
                <w:bCs/>
                <w:color w:val="000000"/>
                <w:sz w:val="20"/>
                <w:szCs w:val="20"/>
                <w:lang w:eastAsia="es-CR"/>
              </w:rPr>
            </w:pPr>
            <w:r w:rsidRPr="00FC7FC4">
              <w:rPr>
                <w:rFonts w:ascii="Book Antiqua" w:eastAsia="Times New Roman" w:hAnsi="Book Antiqua" w:cs="Times New Roman"/>
                <w:b/>
                <w:bCs/>
                <w:color w:val="000000"/>
                <w:sz w:val="20"/>
                <w:szCs w:val="20"/>
                <w:lang w:eastAsia="es-CR"/>
              </w:rPr>
              <w:t>0</w:t>
            </w:r>
          </w:p>
        </w:tc>
        <w:tc>
          <w:tcPr>
            <w:tcW w:w="1134" w:type="dxa"/>
            <w:tcBorders>
              <w:top w:val="nil"/>
              <w:left w:val="nil"/>
              <w:bottom w:val="double" w:sz="6" w:space="0" w:color="1F497D"/>
              <w:right w:val="double" w:sz="6" w:space="0" w:color="1F497D"/>
            </w:tcBorders>
            <w:shd w:val="clear" w:color="000000" w:fill="DCE6F1"/>
            <w:noWrap/>
            <w:vAlign w:val="center"/>
            <w:hideMark/>
          </w:tcPr>
          <w:p w14:paraId="2A94A6E7" w14:textId="77777777" w:rsidR="00D90DCD" w:rsidRPr="00FC7FC4"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FC7FC4">
              <w:rPr>
                <w:rFonts w:ascii="Book Antiqua" w:eastAsia="Times New Roman" w:hAnsi="Book Antiqua" w:cs="Times New Roman"/>
                <w:b/>
                <w:bCs/>
                <w:i/>
                <w:iCs/>
                <w:color w:val="000000"/>
                <w:sz w:val="20"/>
                <w:szCs w:val="20"/>
                <w:lang w:eastAsia="es-CR"/>
              </w:rPr>
              <w:t>774</w:t>
            </w:r>
          </w:p>
        </w:tc>
        <w:tc>
          <w:tcPr>
            <w:tcW w:w="898" w:type="dxa"/>
            <w:vMerge/>
            <w:tcBorders>
              <w:top w:val="nil"/>
              <w:left w:val="double" w:sz="6" w:space="0" w:color="1F497D"/>
              <w:bottom w:val="double" w:sz="6" w:space="0" w:color="1F497D"/>
              <w:right w:val="double" w:sz="6" w:space="0" w:color="1F497D"/>
            </w:tcBorders>
            <w:vAlign w:val="center"/>
            <w:hideMark/>
          </w:tcPr>
          <w:p w14:paraId="23D3B86C" w14:textId="77777777" w:rsidR="00D90DCD" w:rsidRPr="003A32B1" w:rsidRDefault="00D90DCD" w:rsidP="00410CC9">
            <w:pPr>
              <w:spacing w:after="0" w:line="240" w:lineRule="auto"/>
              <w:rPr>
                <w:rFonts w:ascii="Book Antiqua" w:eastAsia="Times New Roman" w:hAnsi="Book Antiqua" w:cs="Times New Roman"/>
                <w:color w:val="000000"/>
                <w:sz w:val="20"/>
                <w:szCs w:val="20"/>
                <w:lang w:eastAsia="es-CR"/>
              </w:rPr>
            </w:pPr>
          </w:p>
        </w:tc>
        <w:tc>
          <w:tcPr>
            <w:tcW w:w="1090" w:type="dxa"/>
            <w:gridSpan w:val="2"/>
            <w:tcBorders>
              <w:top w:val="nil"/>
              <w:left w:val="nil"/>
              <w:bottom w:val="double" w:sz="6" w:space="0" w:color="1F497D"/>
              <w:right w:val="double" w:sz="6" w:space="0" w:color="1F497D"/>
            </w:tcBorders>
            <w:shd w:val="clear" w:color="000000" w:fill="DCE6F1"/>
            <w:vAlign w:val="center"/>
            <w:hideMark/>
          </w:tcPr>
          <w:p w14:paraId="0C56CC2C" w14:textId="77777777" w:rsidR="00D90DCD" w:rsidRPr="003A32B1" w:rsidRDefault="00D90DCD" w:rsidP="00410CC9">
            <w:pPr>
              <w:spacing w:after="0" w:line="240" w:lineRule="auto"/>
              <w:jc w:val="center"/>
              <w:rPr>
                <w:rFonts w:ascii="Book Antiqua" w:eastAsia="Times New Roman" w:hAnsi="Book Antiqua" w:cs="Times New Roman"/>
                <w:b/>
                <w:bCs/>
                <w:i/>
                <w:iCs/>
                <w:color w:val="000000"/>
                <w:sz w:val="20"/>
                <w:szCs w:val="20"/>
                <w:lang w:eastAsia="es-CR"/>
              </w:rPr>
            </w:pPr>
            <w:r w:rsidRPr="003A32B1">
              <w:rPr>
                <w:rFonts w:ascii="Book Antiqua" w:eastAsia="Times New Roman" w:hAnsi="Book Antiqua" w:cs="Times New Roman"/>
                <w:b/>
                <w:bCs/>
                <w:i/>
                <w:iCs/>
                <w:color w:val="000000"/>
                <w:sz w:val="20"/>
                <w:szCs w:val="20"/>
                <w:lang w:eastAsia="es-CR"/>
              </w:rPr>
              <w:t>9</w:t>
            </w:r>
          </w:p>
        </w:tc>
        <w:tc>
          <w:tcPr>
            <w:tcW w:w="1090" w:type="dxa"/>
            <w:vMerge/>
            <w:tcBorders>
              <w:top w:val="nil"/>
              <w:left w:val="double" w:sz="6" w:space="0" w:color="1F497D"/>
              <w:bottom w:val="double" w:sz="6" w:space="0" w:color="1F497D"/>
              <w:right w:val="double" w:sz="6" w:space="0" w:color="1F497D"/>
            </w:tcBorders>
            <w:vAlign w:val="center"/>
            <w:hideMark/>
          </w:tcPr>
          <w:p w14:paraId="78E36BA7" w14:textId="77777777" w:rsidR="00D90DCD" w:rsidRPr="003A32B1" w:rsidRDefault="00D90DCD" w:rsidP="00410CC9">
            <w:pPr>
              <w:spacing w:after="0" w:line="240" w:lineRule="auto"/>
              <w:rPr>
                <w:rFonts w:ascii="Book Antiqua" w:eastAsia="Times New Roman" w:hAnsi="Book Antiqua" w:cs="Times New Roman"/>
                <w:color w:val="000000"/>
                <w:sz w:val="20"/>
                <w:szCs w:val="20"/>
                <w:lang w:eastAsia="es-CR"/>
              </w:rPr>
            </w:pPr>
          </w:p>
        </w:tc>
      </w:tr>
    </w:tbl>
    <w:p w14:paraId="4234108D" w14:textId="1D0363AE" w:rsidR="00D90DCD" w:rsidRDefault="00D90DCD" w:rsidP="00D90DCD">
      <w:pPr>
        <w:spacing w:line="276" w:lineRule="auto"/>
        <w:jc w:val="both"/>
        <w:rPr>
          <w:rFonts w:ascii="Book Antiqua" w:hAnsi="Book Antiqua"/>
        </w:rPr>
      </w:pPr>
      <w:r>
        <w:rPr>
          <w:rFonts w:ascii="Book Antiqua" w:hAnsi="Book Antiqua"/>
        </w:rPr>
        <w:t xml:space="preserve">Fuente: Subproceso de Modernización Institucional con información de los Anuarios Judiciales y el </w:t>
      </w:r>
      <w:r w:rsidR="009E3C80" w:rsidRPr="009E3C80">
        <w:rPr>
          <w:rFonts w:ascii="Book Antiqua" w:hAnsi="Book Antiqua"/>
        </w:rPr>
        <w:t>94-CACMFJ-AGA-2019 y 155- CACMFJ-AGA-2020</w:t>
      </w:r>
      <w:r>
        <w:rPr>
          <w:rFonts w:ascii="Book Antiqua" w:hAnsi="Book Antiqua"/>
        </w:rPr>
        <w:t xml:space="preserve">. </w:t>
      </w:r>
    </w:p>
    <w:p w14:paraId="626BBC00" w14:textId="3AC6917A" w:rsidR="00D90DCD" w:rsidRDefault="00550041" w:rsidP="00D90DCD">
      <w:pPr>
        <w:spacing w:line="276" w:lineRule="auto"/>
        <w:jc w:val="both"/>
        <w:rPr>
          <w:rFonts w:ascii="Book Antiqua" w:hAnsi="Book Antiqua"/>
        </w:rPr>
      </w:pPr>
      <w:r>
        <w:rPr>
          <w:rFonts w:ascii="Book Antiqua" w:hAnsi="Book Antiqua"/>
        </w:rPr>
        <w:t xml:space="preserve">*Cantidades sin contar el aporte obtenido por los planes de Descongestionamiento. </w:t>
      </w:r>
    </w:p>
    <w:p w14:paraId="5A18307A" w14:textId="77777777" w:rsidR="00D90DCD" w:rsidRDefault="00D90DCD" w:rsidP="00D90DCD">
      <w:pPr>
        <w:spacing w:line="276" w:lineRule="auto"/>
        <w:jc w:val="both"/>
        <w:rPr>
          <w:rFonts w:ascii="Book Antiqua" w:hAnsi="Book Antiqua"/>
        </w:rPr>
        <w:sectPr w:rsidR="00D90DCD" w:rsidSect="00B462E9">
          <w:pgSz w:w="15840" w:h="12240" w:orient="landscape"/>
          <w:pgMar w:top="1701" w:right="1417" w:bottom="1701" w:left="1417" w:header="708" w:footer="708" w:gutter="0"/>
          <w:cols w:space="708"/>
          <w:docGrid w:linePitch="360"/>
        </w:sectPr>
      </w:pPr>
    </w:p>
    <w:p w14:paraId="6D08A869" w14:textId="10AEDF29" w:rsidR="00D90DCD" w:rsidRDefault="00D90DCD" w:rsidP="00D90DCD">
      <w:pPr>
        <w:spacing w:line="276" w:lineRule="auto"/>
        <w:jc w:val="both"/>
        <w:rPr>
          <w:rFonts w:ascii="Book Antiqua" w:hAnsi="Book Antiqua"/>
        </w:rPr>
      </w:pPr>
      <w:r>
        <w:rPr>
          <w:rFonts w:ascii="Book Antiqua" w:hAnsi="Book Antiqua"/>
        </w:rPr>
        <w:t xml:space="preserve">Durante el periodo analizado el Centro de Apoyo, Coordinación </w:t>
      </w:r>
      <w:r w:rsidR="00796D77">
        <w:rPr>
          <w:rFonts w:ascii="Book Antiqua" w:hAnsi="Book Antiqua"/>
        </w:rPr>
        <w:t>y Mejoramiento</w:t>
      </w:r>
      <w:r>
        <w:rPr>
          <w:rFonts w:ascii="Book Antiqua" w:hAnsi="Book Antiqua"/>
        </w:rPr>
        <w:t xml:space="preserve"> de la Función Jurisdiccional brindó colaboración en el dictado de sentencia del 13% del total de terminados de los años en estudio en materia Civil, lo que representó el dictado de 789 sentencias y en el caso de materia de trabajo, un 17% equivalente a 1021 asuntos, para un total</w:t>
      </w:r>
      <w:r w:rsidR="00BA7129">
        <w:rPr>
          <w:rFonts w:ascii="Book Antiqua" w:hAnsi="Book Antiqua"/>
        </w:rPr>
        <w:t xml:space="preserve"> entre las dos materias</w:t>
      </w:r>
      <w:r>
        <w:rPr>
          <w:rFonts w:ascii="Book Antiqua" w:hAnsi="Book Antiqua"/>
        </w:rPr>
        <w:t xml:space="preserve"> de 1810 sentencias, para una colaboración de un </w:t>
      </w:r>
      <w:r w:rsidR="00DA019D">
        <w:rPr>
          <w:rFonts w:ascii="Book Antiqua" w:hAnsi="Book Antiqua"/>
        </w:rPr>
        <w:t>30</w:t>
      </w:r>
      <w:r>
        <w:rPr>
          <w:rFonts w:ascii="Book Antiqua" w:hAnsi="Book Antiqua"/>
        </w:rPr>
        <w:t xml:space="preserve">%.  El </w:t>
      </w:r>
      <w:r w:rsidRPr="00302589">
        <w:rPr>
          <w:rFonts w:ascii="Book Antiqua" w:hAnsi="Book Antiqua"/>
        </w:rPr>
        <w:t xml:space="preserve">despacho que recibió mayor colaboración corresponde al Tribunal De Apelación Civil </w:t>
      </w:r>
      <w:r w:rsidRPr="00FF7F8F">
        <w:rPr>
          <w:rFonts w:ascii="Book Antiqua" w:hAnsi="Book Antiqua"/>
        </w:rPr>
        <w:t>y</w:t>
      </w:r>
      <w:r w:rsidRPr="00FC7FC4">
        <w:rPr>
          <w:rFonts w:ascii="Book Antiqua" w:hAnsi="Book Antiqua"/>
        </w:rPr>
        <w:t xml:space="preserve"> Trabajo Alajuela, de la cual el </w:t>
      </w:r>
      <w:r w:rsidR="00CF4127" w:rsidRPr="00FC7FC4">
        <w:rPr>
          <w:rFonts w:ascii="Book Antiqua" w:hAnsi="Book Antiqua"/>
        </w:rPr>
        <w:t>15</w:t>
      </w:r>
      <w:r w:rsidRPr="00FC7FC4">
        <w:rPr>
          <w:rFonts w:ascii="Book Antiqua" w:hAnsi="Book Antiqua"/>
        </w:rPr>
        <w:t>%</w:t>
      </w:r>
      <w:r w:rsidR="00CF4127" w:rsidRPr="00FC7FC4">
        <w:rPr>
          <w:rFonts w:ascii="Book Antiqua" w:hAnsi="Book Antiqua"/>
        </w:rPr>
        <w:t xml:space="preserve"> de los casos terminados </w:t>
      </w:r>
      <w:r w:rsidR="006167CB" w:rsidRPr="00FC7FC4">
        <w:rPr>
          <w:rFonts w:ascii="Book Antiqua" w:hAnsi="Book Antiqua"/>
        </w:rPr>
        <w:t>en materia Civil correspondió a</w:t>
      </w:r>
      <w:r w:rsidR="00E409A1" w:rsidRPr="00FC7FC4">
        <w:rPr>
          <w:rFonts w:ascii="Book Antiqua" w:hAnsi="Book Antiqua"/>
        </w:rPr>
        <w:t xml:space="preserve"> </w:t>
      </w:r>
      <w:r w:rsidR="006167CB" w:rsidRPr="00FC7FC4">
        <w:rPr>
          <w:rFonts w:ascii="Book Antiqua" w:hAnsi="Book Antiqua"/>
        </w:rPr>
        <w:t>l</w:t>
      </w:r>
      <w:r w:rsidR="00E409A1" w:rsidRPr="00FC7FC4">
        <w:rPr>
          <w:rFonts w:ascii="Book Antiqua" w:hAnsi="Book Antiqua"/>
        </w:rPr>
        <w:t>a</w:t>
      </w:r>
      <w:r w:rsidR="006167CB" w:rsidRPr="00FC7FC4">
        <w:rPr>
          <w:rFonts w:ascii="Book Antiqua" w:hAnsi="Book Antiqua"/>
        </w:rPr>
        <w:t xml:space="preserve"> colaboración brindada</w:t>
      </w:r>
      <w:r w:rsidRPr="00FC7FC4">
        <w:rPr>
          <w:rFonts w:ascii="Book Antiqua" w:hAnsi="Book Antiqua"/>
        </w:rPr>
        <w:t xml:space="preserve"> y un </w:t>
      </w:r>
      <w:r w:rsidR="001A4090" w:rsidRPr="00EB031E">
        <w:rPr>
          <w:rFonts w:ascii="Book Antiqua" w:hAnsi="Book Antiqua"/>
        </w:rPr>
        <w:t>27</w:t>
      </w:r>
      <w:r w:rsidRPr="00302589">
        <w:rPr>
          <w:rFonts w:ascii="Book Antiqua" w:hAnsi="Book Antiqua"/>
        </w:rPr>
        <w:t xml:space="preserve">% en material laboral. El segundo despacho que recibió mayor colaboración corresponde a </w:t>
      </w:r>
      <w:r w:rsidRPr="00FC7FC4">
        <w:rPr>
          <w:rFonts w:ascii="Book Antiqua" w:hAnsi="Book Antiqua"/>
        </w:rPr>
        <w:t>Tribunal de Apelación Civil y Trabajo de Puntarenas,</w:t>
      </w:r>
      <w:r w:rsidRPr="00FC7FC4" w:rsidDel="006167CB">
        <w:rPr>
          <w:rFonts w:ascii="Book Antiqua" w:hAnsi="Book Antiqua"/>
        </w:rPr>
        <w:t xml:space="preserve"> </w:t>
      </w:r>
      <w:r w:rsidR="006167CB" w:rsidRPr="00FC7FC4">
        <w:rPr>
          <w:rFonts w:ascii="Book Antiqua" w:hAnsi="Book Antiqua"/>
        </w:rPr>
        <w:t xml:space="preserve">cual implicó </w:t>
      </w:r>
      <w:r w:rsidR="00FC7FC4" w:rsidRPr="00EB031E">
        <w:rPr>
          <w:rFonts w:ascii="Book Antiqua" w:hAnsi="Book Antiqua"/>
        </w:rPr>
        <w:t>20</w:t>
      </w:r>
      <w:r w:rsidRPr="00302589">
        <w:rPr>
          <w:rFonts w:ascii="Book Antiqua" w:hAnsi="Book Antiqua"/>
        </w:rPr>
        <w:t xml:space="preserve">% </w:t>
      </w:r>
      <w:r w:rsidR="00DC49B1" w:rsidRPr="00302589">
        <w:rPr>
          <w:rFonts w:ascii="Book Antiqua" w:hAnsi="Book Antiqua"/>
        </w:rPr>
        <w:t xml:space="preserve">de lo terminado </w:t>
      </w:r>
      <w:r w:rsidRPr="00FF7F8F">
        <w:rPr>
          <w:rFonts w:ascii="Book Antiqua" w:hAnsi="Book Antiqua"/>
        </w:rPr>
        <w:t>en material laboral y e</w:t>
      </w:r>
      <w:r w:rsidRPr="00FC7FC4">
        <w:rPr>
          <w:rFonts w:ascii="Book Antiqua" w:hAnsi="Book Antiqua"/>
        </w:rPr>
        <w:t xml:space="preserve">l </w:t>
      </w:r>
      <w:r w:rsidR="00DC49B1" w:rsidRPr="00FC7FC4">
        <w:rPr>
          <w:rFonts w:ascii="Book Antiqua" w:hAnsi="Book Antiqua"/>
        </w:rPr>
        <w:t>27</w:t>
      </w:r>
      <w:r w:rsidRPr="00FC7FC4">
        <w:rPr>
          <w:rFonts w:ascii="Book Antiqua" w:hAnsi="Book Antiqua"/>
        </w:rPr>
        <w:t xml:space="preserve">% en materia Civil. En tercer lugar, se tiene al Tribunal de Apelación Civil y Trabajo de Heredia </w:t>
      </w:r>
      <w:r w:rsidR="000155CE" w:rsidRPr="00FC7FC4">
        <w:rPr>
          <w:rFonts w:ascii="Book Antiqua" w:hAnsi="Book Antiqua"/>
        </w:rPr>
        <w:t xml:space="preserve">en donde la cantidad de terminados por el plan corresponden a </w:t>
      </w:r>
      <w:r w:rsidRPr="00FC7FC4">
        <w:rPr>
          <w:rFonts w:ascii="Book Antiqua" w:hAnsi="Book Antiqua"/>
        </w:rPr>
        <w:t xml:space="preserve">un </w:t>
      </w:r>
      <w:r w:rsidR="000155CE" w:rsidRPr="00FC7FC4">
        <w:rPr>
          <w:rFonts w:ascii="Book Antiqua" w:hAnsi="Book Antiqua"/>
        </w:rPr>
        <w:t>29</w:t>
      </w:r>
      <w:r w:rsidRPr="00FC7FC4">
        <w:rPr>
          <w:rFonts w:ascii="Book Antiqua" w:hAnsi="Book Antiqua"/>
        </w:rPr>
        <w:t xml:space="preserve">% en materia Laboral y un </w:t>
      </w:r>
      <w:r w:rsidR="00DC49B1" w:rsidRPr="00FC7FC4">
        <w:rPr>
          <w:rFonts w:ascii="Book Antiqua" w:hAnsi="Book Antiqua"/>
        </w:rPr>
        <w:t>22</w:t>
      </w:r>
      <w:r w:rsidRPr="00FC7FC4">
        <w:rPr>
          <w:rFonts w:ascii="Book Antiqua" w:hAnsi="Book Antiqua"/>
        </w:rPr>
        <w:t>% en materia Civil.</w:t>
      </w:r>
      <w:r>
        <w:rPr>
          <w:rFonts w:ascii="Book Antiqua" w:hAnsi="Book Antiqua"/>
        </w:rPr>
        <w:t xml:space="preserve">  </w:t>
      </w:r>
    </w:p>
    <w:p w14:paraId="32830611" w14:textId="7DB59542" w:rsidR="00006459" w:rsidRDefault="00D90DCD" w:rsidP="00BA24ED">
      <w:pPr>
        <w:jc w:val="both"/>
        <w:rPr>
          <w:rFonts w:ascii="Book Antiqua" w:hAnsi="Book Antiqua"/>
          <w:b/>
          <w:bCs/>
        </w:rPr>
      </w:pPr>
      <w:r>
        <w:rPr>
          <w:rFonts w:ascii="Book Antiqua" w:hAnsi="Book Antiqua"/>
        </w:rPr>
        <w:t xml:space="preserve">Es importante indicar que se realizó el análisis de los casos finalizados por los despachos disminuyendo la colaboración </w:t>
      </w:r>
      <w:r w:rsidR="00F769B5">
        <w:rPr>
          <w:rFonts w:ascii="Book Antiqua" w:hAnsi="Book Antiqua"/>
        </w:rPr>
        <w:t xml:space="preserve">recibida </w:t>
      </w:r>
      <w:r>
        <w:rPr>
          <w:rFonts w:ascii="Book Antiqua" w:hAnsi="Book Antiqua"/>
        </w:rPr>
        <w:t xml:space="preserve">por </w:t>
      </w:r>
      <w:r w:rsidR="00F769B5">
        <w:rPr>
          <w:rFonts w:ascii="Book Antiqua" w:hAnsi="Book Antiqua"/>
        </w:rPr>
        <w:t xml:space="preserve">parte del </w:t>
      </w:r>
      <w:r>
        <w:rPr>
          <w:rFonts w:ascii="Book Antiqua" w:hAnsi="Book Antiqua"/>
        </w:rPr>
        <w:t xml:space="preserve">el </w:t>
      </w:r>
      <w:r w:rsidRPr="00EC5CCC">
        <w:rPr>
          <w:rFonts w:ascii="Book Antiqua" w:hAnsi="Book Antiqua" w:cs="Book Antiqua"/>
        </w:rPr>
        <w:t xml:space="preserve">Centro de Apoyo, Coordinación y </w:t>
      </w:r>
      <w:r w:rsidRPr="00B72963">
        <w:rPr>
          <w:rFonts w:ascii="Book Antiqua" w:hAnsi="Book Antiqua" w:cs="Book Antiqua"/>
        </w:rPr>
        <w:t>Mejoramiento de la Función Jurisdiccional</w:t>
      </w:r>
      <w:r w:rsidRPr="00B72963">
        <w:rPr>
          <w:rFonts w:ascii="Book Antiqua" w:hAnsi="Book Antiqua"/>
        </w:rPr>
        <w:t xml:space="preserve">, en el que se identifica que el promedio de la media nacional en la cantidad de asuntos terminados por mes por persona juzgadora es de </w:t>
      </w:r>
      <w:r w:rsidRPr="006E6CBA">
        <w:rPr>
          <w:rFonts w:ascii="Book Antiqua" w:hAnsi="Book Antiqua"/>
        </w:rPr>
        <w:t>18 asuntos</w:t>
      </w:r>
      <w:r w:rsidR="00006459" w:rsidRPr="006E6CBA">
        <w:rPr>
          <w:rFonts w:ascii="Book Antiqua" w:hAnsi="Book Antiqua"/>
        </w:rPr>
        <w:t xml:space="preserve">, dato que se ajusta a la cuota actual de estos tribunales que es de mínimo 17 asuntos fenecidos por </w:t>
      </w:r>
      <w:r w:rsidR="00977FA4" w:rsidRPr="006E6CBA">
        <w:rPr>
          <w:rFonts w:ascii="Book Antiqua" w:hAnsi="Book Antiqua"/>
        </w:rPr>
        <w:t xml:space="preserve">sentencia por </w:t>
      </w:r>
      <w:r w:rsidR="00006459" w:rsidRPr="006E6CBA">
        <w:rPr>
          <w:rFonts w:ascii="Book Antiqua" w:hAnsi="Book Antiqua"/>
        </w:rPr>
        <w:t>mes entre ambas materias, considerando también que no todo termina por sentencia, sino que entre los motivos de termino o cierre de los recursos hay otras opciones además de voto (según la fórmula</w:t>
      </w:r>
      <w:r w:rsidR="00006459" w:rsidRPr="00EB031E">
        <w:rPr>
          <w:rFonts w:ascii="Book Antiqua" w:hAnsi="Book Antiqua"/>
        </w:rPr>
        <w:t xml:space="preserve"> estadística actual los motivos de término disponibles para un tribunal de apelación son entre otras: Confirmatorias, Revocatorias, Desistimiento, Modificatorias, Aprobatorias, Anulaciones, Resolver competencia, Con Lugar (Apel. Inadmis.), Sin Lugar (Apel. Inadmis.), Sentencia Dictada, Incompetencia, Mal Admitida, Se Rechaza apelación, Giro de Renta, Devuelto por trámite incompleto, Acumulación, Emplazamiento por trámites pendientes y Otro tipo de resolución).</w:t>
      </w:r>
      <w:r w:rsidR="00006459">
        <w:rPr>
          <w:rFonts w:ascii="Book Antiqua" w:hAnsi="Book Antiqua"/>
          <w:b/>
          <w:bCs/>
        </w:rPr>
        <w:t xml:space="preserve"> </w:t>
      </w:r>
    </w:p>
    <w:p w14:paraId="007EC796" w14:textId="62872319" w:rsidR="00017C5E" w:rsidRDefault="00006459" w:rsidP="00BA24ED">
      <w:pPr>
        <w:jc w:val="both"/>
        <w:rPr>
          <w:rFonts w:ascii="Book Antiqua" w:hAnsi="Book Antiqua"/>
        </w:rPr>
      </w:pPr>
      <w:r w:rsidRPr="00EB031E">
        <w:rPr>
          <w:rFonts w:ascii="Book Antiqua" w:hAnsi="Book Antiqua"/>
        </w:rPr>
        <w:t>P</w:t>
      </w:r>
      <w:r w:rsidR="00D90DCD" w:rsidRPr="005F6403">
        <w:rPr>
          <w:rFonts w:ascii="Book Antiqua" w:hAnsi="Book Antiqua"/>
        </w:rPr>
        <w:t>or</w:t>
      </w:r>
      <w:r w:rsidR="00D90DCD">
        <w:rPr>
          <w:rFonts w:ascii="Book Antiqua" w:hAnsi="Book Antiqua"/>
        </w:rPr>
        <w:t xml:space="preserve"> debajo de la media </w:t>
      </w:r>
      <w:r>
        <w:rPr>
          <w:rFonts w:ascii="Book Antiqua" w:hAnsi="Book Antiqua"/>
        </w:rPr>
        <w:t xml:space="preserve">(18 fenecidos por mes por plaza) </w:t>
      </w:r>
      <w:r w:rsidR="00D90DCD">
        <w:rPr>
          <w:rFonts w:ascii="Book Antiqua" w:hAnsi="Book Antiqua"/>
        </w:rPr>
        <w:t xml:space="preserve">se encuentran </w:t>
      </w:r>
      <w:r w:rsidR="00D90DCD" w:rsidRPr="00B15CA1">
        <w:rPr>
          <w:rFonts w:ascii="Book Antiqua" w:hAnsi="Book Antiqua"/>
        </w:rPr>
        <w:t>Tribunal de Apelación Civil y Trabajo Liberia</w:t>
      </w:r>
      <w:r w:rsidR="00D90DCD">
        <w:rPr>
          <w:rFonts w:ascii="Book Antiqua" w:hAnsi="Book Antiqua"/>
        </w:rPr>
        <w:t xml:space="preserve">, </w:t>
      </w:r>
      <w:r w:rsidR="00D90DCD" w:rsidRPr="006C1E0D">
        <w:rPr>
          <w:rFonts w:ascii="Book Antiqua" w:hAnsi="Book Antiqua"/>
        </w:rPr>
        <w:t xml:space="preserve">Tribunal de Apelación Civil y Trabajo de </w:t>
      </w:r>
      <w:r w:rsidR="00AB41EF">
        <w:rPr>
          <w:rFonts w:ascii="Book Antiqua" w:eastAsia="Times New Roman" w:hAnsi="Book Antiqua" w:cs="Times New Roman"/>
          <w:color w:val="000000"/>
          <w:lang w:eastAsia="es-CR"/>
        </w:rPr>
        <w:t>la Zona Atlántica (</w:t>
      </w:r>
      <w:r w:rsidR="00AB41EF" w:rsidRPr="001802AD">
        <w:rPr>
          <w:rFonts w:ascii="Book Antiqua" w:eastAsia="Times New Roman" w:hAnsi="Book Antiqua" w:cs="Times New Roman"/>
          <w:color w:val="000000"/>
          <w:lang w:eastAsia="es-CR"/>
        </w:rPr>
        <w:t>Limón</w:t>
      </w:r>
      <w:r w:rsidR="00AB41EF">
        <w:rPr>
          <w:rFonts w:ascii="Book Antiqua" w:eastAsia="Times New Roman" w:hAnsi="Book Antiqua" w:cs="Times New Roman"/>
          <w:color w:val="000000"/>
          <w:lang w:eastAsia="es-CR"/>
        </w:rPr>
        <w:t>)</w:t>
      </w:r>
      <w:r w:rsidR="00AB41EF" w:rsidRPr="001802AD">
        <w:rPr>
          <w:rFonts w:ascii="Book Antiqua" w:eastAsia="Times New Roman" w:hAnsi="Book Antiqua" w:cs="Times New Roman"/>
          <w:color w:val="000000"/>
          <w:lang w:eastAsia="es-CR"/>
        </w:rPr>
        <w:t xml:space="preserve"> </w:t>
      </w:r>
      <w:r w:rsidR="00D90DCD">
        <w:rPr>
          <w:rFonts w:ascii="Book Antiqua" w:hAnsi="Book Antiqua"/>
        </w:rPr>
        <w:t xml:space="preserve">y </w:t>
      </w:r>
      <w:r w:rsidR="00D90DCD" w:rsidRPr="006C1E0D">
        <w:rPr>
          <w:rFonts w:ascii="Book Antiqua" w:hAnsi="Book Antiqua"/>
        </w:rPr>
        <w:t>Tribunal de Apelación Civil y Trabajo de Puntarenas</w:t>
      </w:r>
      <w:r w:rsidR="00D90DCD">
        <w:rPr>
          <w:rFonts w:ascii="Book Antiqua" w:hAnsi="Book Antiqua"/>
        </w:rPr>
        <w:t>, con un promedio de 16,14 y 1</w:t>
      </w:r>
      <w:r w:rsidR="002D4F1D">
        <w:rPr>
          <w:rFonts w:ascii="Book Antiqua" w:hAnsi="Book Antiqua"/>
        </w:rPr>
        <w:t>3</w:t>
      </w:r>
      <w:r w:rsidR="00D90DCD">
        <w:rPr>
          <w:rFonts w:ascii="Book Antiqua" w:hAnsi="Book Antiqua"/>
        </w:rPr>
        <w:t xml:space="preserve"> asuntos respectivamente. Caso contrario los despachos que se encuentran por encima de la media nacional se encuentra en primer lugar el </w:t>
      </w:r>
      <w:r w:rsidR="00D90DCD" w:rsidRPr="00423EF0">
        <w:rPr>
          <w:rFonts w:ascii="Book Antiqua" w:hAnsi="Book Antiqua"/>
        </w:rPr>
        <w:t xml:space="preserve">Tribunal De Apelación Civil </w:t>
      </w:r>
      <w:r w:rsidR="007F79DA">
        <w:rPr>
          <w:rFonts w:ascii="Book Antiqua" w:hAnsi="Book Antiqua"/>
        </w:rPr>
        <w:t>y</w:t>
      </w:r>
      <w:r w:rsidR="00D90DCD" w:rsidRPr="00423EF0">
        <w:rPr>
          <w:rFonts w:ascii="Book Antiqua" w:hAnsi="Book Antiqua"/>
        </w:rPr>
        <w:t xml:space="preserve"> Trabajo Alajuela</w:t>
      </w:r>
      <w:r w:rsidR="00D90DCD">
        <w:rPr>
          <w:rFonts w:ascii="Book Antiqua" w:hAnsi="Book Antiqua"/>
        </w:rPr>
        <w:t xml:space="preserve"> con 2</w:t>
      </w:r>
      <w:r w:rsidR="0033534B">
        <w:rPr>
          <w:rFonts w:ascii="Book Antiqua" w:hAnsi="Book Antiqua"/>
        </w:rPr>
        <w:t>3</w:t>
      </w:r>
      <w:r w:rsidR="00D90DCD">
        <w:rPr>
          <w:rFonts w:ascii="Book Antiqua" w:hAnsi="Book Antiqua"/>
        </w:rPr>
        <w:t xml:space="preserve"> </w:t>
      </w:r>
      <w:r w:rsidR="00C66E81">
        <w:rPr>
          <w:rFonts w:ascii="Book Antiqua" w:hAnsi="Book Antiqua"/>
        </w:rPr>
        <w:t>terminados</w:t>
      </w:r>
      <w:r w:rsidR="00D90DCD">
        <w:rPr>
          <w:rFonts w:ascii="Book Antiqua" w:hAnsi="Book Antiqua"/>
        </w:rPr>
        <w:t xml:space="preserve"> por mes por persona juzgadora, </w:t>
      </w:r>
      <w:r w:rsidR="00D42F12">
        <w:rPr>
          <w:rFonts w:ascii="Book Antiqua" w:hAnsi="Book Antiqua"/>
        </w:rPr>
        <w:t xml:space="preserve">5 </w:t>
      </w:r>
      <w:r w:rsidR="00D90DCD">
        <w:rPr>
          <w:rFonts w:ascii="Book Antiqua" w:hAnsi="Book Antiqua"/>
        </w:rPr>
        <w:t xml:space="preserve">asuntos por encima del promedio, el </w:t>
      </w:r>
      <w:r w:rsidR="00D90DCD" w:rsidRPr="00010117">
        <w:rPr>
          <w:rFonts w:ascii="Book Antiqua" w:hAnsi="Book Antiqua"/>
        </w:rPr>
        <w:t>Tribunal de Apelación Civil y Trabajo de Cartago</w:t>
      </w:r>
      <w:r w:rsidR="00D90DCD">
        <w:rPr>
          <w:rFonts w:ascii="Book Antiqua" w:hAnsi="Book Antiqua"/>
        </w:rPr>
        <w:t xml:space="preserve"> con 20 </w:t>
      </w:r>
      <w:r w:rsidR="00C66E81">
        <w:rPr>
          <w:rFonts w:ascii="Book Antiqua" w:hAnsi="Book Antiqua"/>
        </w:rPr>
        <w:t xml:space="preserve">terminados </w:t>
      </w:r>
      <w:r w:rsidR="00D90DCD">
        <w:rPr>
          <w:rFonts w:ascii="Book Antiqua" w:hAnsi="Book Antiqua"/>
        </w:rPr>
        <w:t xml:space="preserve">por mes por persona juzgadora, y los </w:t>
      </w:r>
      <w:r w:rsidR="00D90DCD" w:rsidRPr="00DF45C4">
        <w:rPr>
          <w:rFonts w:ascii="Book Antiqua" w:hAnsi="Book Antiqua"/>
        </w:rPr>
        <w:t>Tribunal</w:t>
      </w:r>
      <w:r w:rsidR="00D90DCD">
        <w:rPr>
          <w:rFonts w:ascii="Book Antiqua" w:hAnsi="Book Antiqua"/>
        </w:rPr>
        <w:t>es</w:t>
      </w:r>
      <w:r w:rsidR="00D90DCD" w:rsidRPr="00DF45C4">
        <w:rPr>
          <w:rFonts w:ascii="Book Antiqua" w:hAnsi="Book Antiqua"/>
        </w:rPr>
        <w:t xml:space="preserve"> de Apelación Civil y Trabajo </w:t>
      </w:r>
      <w:r w:rsidR="00AB41EF">
        <w:rPr>
          <w:rFonts w:ascii="Book Antiqua" w:eastAsia="Times New Roman" w:hAnsi="Book Antiqua" w:cs="Times New Roman"/>
          <w:color w:val="000000"/>
          <w:lang w:eastAsia="es-CR"/>
        </w:rPr>
        <w:t xml:space="preserve">de la Zona Sur (Pérez Zeledón) </w:t>
      </w:r>
      <w:r w:rsidR="00D90DCD">
        <w:rPr>
          <w:rFonts w:ascii="Book Antiqua" w:hAnsi="Book Antiqua"/>
        </w:rPr>
        <w:t xml:space="preserve">y Heredia, con un promedio de </w:t>
      </w:r>
      <w:r w:rsidR="008E682F">
        <w:rPr>
          <w:rFonts w:ascii="Book Antiqua" w:hAnsi="Book Antiqua"/>
        </w:rPr>
        <w:t xml:space="preserve">19 </w:t>
      </w:r>
      <w:r w:rsidR="00C66E81">
        <w:rPr>
          <w:rFonts w:ascii="Book Antiqua" w:hAnsi="Book Antiqua"/>
        </w:rPr>
        <w:t xml:space="preserve">terminados </w:t>
      </w:r>
      <w:r w:rsidR="00D90DCD">
        <w:rPr>
          <w:rFonts w:ascii="Book Antiqua" w:hAnsi="Book Antiqua"/>
        </w:rPr>
        <w:t xml:space="preserve">por mes por persona juzgadora. </w:t>
      </w:r>
    </w:p>
    <w:p w14:paraId="7C78301C" w14:textId="54100B53" w:rsidR="001B0A32" w:rsidRDefault="0073613B">
      <w:pPr>
        <w:jc w:val="both"/>
        <w:rPr>
          <w:rFonts w:ascii="Book Antiqua" w:hAnsi="Book Antiqua"/>
        </w:rPr>
      </w:pPr>
      <w:r>
        <w:rPr>
          <w:rFonts w:ascii="Book Antiqua" w:hAnsi="Book Antiqua"/>
        </w:rPr>
        <w:t>Relacionado con</w:t>
      </w:r>
      <w:r w:rsidR="00AB5471">
        <w:rPr>
          <w:rFonts w:ascii="Book Antiqua" w:hAnsi="Book Antiqua"/>
        </w:rPr>
        <w:t xml:space="preserve"> el </w:t>
      </w:r>
      <w:r w:rsidR="00D74075">
        <w:rPr>
          <w:rFonts w:ascii="Book Antiqua" w:hAnsi="Book Antiqua"/>
        </w:rPr>
        <w:t>análisis</w:t>
      </w:r>
      <w:r w:rsidR="00AB5471">
        <w:rPr>
          <w:rFonts w:ascii="Book Antiqua" w:hAnsi="Book Antiqua"/>
        </w:rPr>
        <w:t xml:space="preserve"> de brindarle</w:t>
      </w:r>
      <w:r>
        <w:rPr>
          <w:rFonts w:ascii="Book Antiqua" w:hAnsi="Book Antiqua"/>
        </w:rPr>
        <w:t xml:space="preserve"> la colaboración </w:t>
      </w:r>
      <w:r w:rsidR="00AB5471">
        <w:rPr>
          <w:rFonts w:ascii="Book Antiqua" w:hAnsi="Book Antiqua"/>
        </w:rPr>
        <w:t xml:space="preserve">al Tribunal de Apelación Civil y </w:t>
      </w:r>
      <w:r w:rsidR="00881337">
        <w:rPr>
          <w:rFonts w:ascii="Book Antiqua" w:hAnsi="Book Antiqua"/>
        </w:rPr>
        <w:t xml:space="preserve">de Trabajo </w:t>
      </w:r>
      <w:r w:rsidR="00AB5471">
        <w:rPr>
          <w:rFonts w:ascii="Book Antiqua" w:hAnsi="Book Antiqua"/>
        </w:rPr>
        <w:t xml:space="preserve">de Alajuela, por parte de la Dirección de Planificación se realizaron los </w:t>
      </w:r>
      <w:r w:rsidR="001B0A32">
        <w:rPr>
          <w:rFonts w:ascii="Book Antiqua" w:hAnsi="Book Antiqua"/>
        </w:rPr>
        <w:t xml:space="preserve">siguientes </w:t>
      </w:r>
      <w:r w:rsidR="00AB5471">
        <w:rPr>
          <w:rFonts w:ascii="Book Antiqua" w:hAnsi="Book Antiqua"/>
        </w:rPr>
        <w:t>informes</w:t>
      </w:r>
      <w:r w:rsidR="00A95BB5">
        <w:rPr>
          <w:rFonts w:ascii="Book Antiqua" w:hAnsi="Book Antiqua"/>
        </w:rPr>
        <w:t xml:space="preserve"> relacionados con los planes de descongestionamiento</w:t>
      </w:r>
      <w:r w:rsidR="001B0A32">
        <w:rPr>
          <w:rFonts w:ascii="Book Antiqua" w:hAnsi="Book Antiqua"/>
        </w:rPr>
        <w:t xml:space="preserve">: </w:t>
      </w:r>
    </w:p>
    <w:p w14:paraId="06034D2D" w14:textId="5988E5CE" w:rsidR="001B0A32" w:rsidRPr="00A95BB5" w:rsidRDefault="001B0A32" w:rsidP="009C259C">
      <w:pPr>
        <w:pStyle w:val="Prrafodelista"/>
        <w:numPr>
          <w:ilvl w:val="0"/>
          <w:numId w:val="11"/>
        </w:numPr>
        <w:jc w:val="both"/>
        <w:rPr>
          <w:rFonts w:ascii="Book Antiqua" w:hAnsi="Book Antiqua"/>
        </w:rPr>
      </w:pPr>
      <w:r w:rsidRPr="00BA24ED">
        <w:rPr>
          <w:rFonts w:ascii="Book Antiqua" w:hAnsi="Book Antiqua"/>
        </w:rPr>
        <w:t xml:space="preserve">Oficio </w:t>
      </w:r>
      <w:r w:rsidR="00AB5471" w:rsidRPr="00BA24ED">
        <w:rPr>
          <w:rFonts w:ascii="Book Antiqua" w:hAnsi="Book Antiqua"/>
        </w:rPr>
        <w:t>256-PLA-2017</w:t>
      </w:r>
      <w:r w:rsidR="0067186B" w:rsidRPr="00BA24ED">
        <w:rPr>
          <w:rFonts w:ascii="Book Antiqua" w:hAnsi="Book Antiqua"/>
        </w:rPr>
        <w:t xml:space="preserve"> relacionado con la propuesta para atender el plan de descongestionamiento en segunda instancia de la materia laboral</w:t>
      </w:r>
      <w:r w:rsidR="006B404A">
        <w:rPr>
          <w:rFonts w:ascii="Book Antiqua" w:hAnsi="Book Antiqua"/>
        </w:rPr>
        <w:t xml:space="preserve"> </w:t>
      </w:r>
      <w:r w:rsidR="006B404A" w:rsidRPr="007070FD">
        <w:rPr>
          <w:rFonts w:ascii="Book Antiqua" w:eastAsia="Times New Roman" w:hAnsi="Book Antiqua" w:cs="Segoe UI"/>
          <w:lang w:eastAsia="es-CR"/>
        </w:rPr>
        <w:t xml:space="preserve">aprobado por Consejo Superior sesión 10-2017, del 09 de </w:t>
      </w:r>
      <w:r w:rsidR="00A53CC3">
        <w:rPr>
          <w:rFonts w:ascii="Book Antiqua" w:eastAsia="Times New Roman" w:hAnsi="Book Antiqua" w:cs="Segoe UI"/>
          <w:lang w:eastAsia="es-CR"/>
        </w:rPr>
        <w:t>f</w:t>
      </w:r>
      <w:r w:rsidR="006B404A" w:rsidRPr="007070FD">
        <w:rPr>
          <w:rFonts w:ascii="Book Antiqua" w:eastAsia="Times New Roman" w:hAnsi="Book Antiqua" w:cs="Segoe UI"/>
          <w:lang w:eastAsia="es-CR"/>
        </w:rPr>
        <w:t>ebrero del 2017, artículo LXXIV</w:t>
      </w:r>
      <w:r w:rsidR="006B404A">
        <w:rPr>
          <w:rFonts w:ascii="Book Antiqua" w:eastAsia="Times New Roman" w:hAnsi="Book Antiqua" w:cs="Segoe UI"/>
          <w:lang w:eastAsia="es-CR"/>
        </w:rPr>
        <w:t>.</w:t>
      </w:r>
    </w:p>
    <w:p w14:paraId="5780E491" w14:textId="3E90D657" w:rsidR="001B0A32" w:rsidRPr="00A95BB5" w:rsidRDefault="00A95BB5" w:rsidP="009C259C">
      <w:pPr>
        <w:pStyle w:val="Prrafodelista"/>
        <w:numPr>
          <w:ilvl w:val="0"/>
          <w:numId w:val="11"/>
        </w:numPr>
        <w:jc w:val="both"/>
        <w:rPr>
          <w:rFonts w:ascii="Book Antiqua" w:hAnsi="Book Antiqua"/>
        </w:rPr>
      </w:pPr>
      <w:r>
        <w:rPr>
          <w:rFonts w:ascii="Book Antiqua" w:hAnsi="Book Antiqua"/>
        </w:rPr>
        <w:t xml:space="preserve">Oficio </w:t>
      </w:r>
      <w:r w:rsidR="00AB5471" w:rsidRPr="00BA24ED">
        <w:rPr>
          <w:rFonts w:ascii="Book Antiqua" w:hAnsi="Book Antiqua"/>
        </w:rPr>
        <w:t>266-PLA-2018</w:t>
      </w:r>
      <w:r w:rsidR="002E04BA" w:rsidRPr="00BA24ED">
        <w:rPr>
          <w:rFonts w:ascii="Book Antiqua" w:hAnsi="Book Antiqua"/>
        </w:rPr>
        <w:t xml:space="preserve"> relacionado con el Plan de Descongestionamiento de Segunda Instancia en materia Civil y de Trabajo para el 2018,</w:t>
      </w:r>
      <w:r w:rsidR="00A53CC3" w:rsidRPr="00A53CC3">
        <w:rPr>
          <w:rFonts w:ascii="Book Antiqua" w:eastAsia="Times New Roman" w:hAnsi="Book Antiqua" w:cs="Segoe UI"/>
          <w:lang w:eastAsia="es-CR"/>
        </w:rPr>
        <w:t xml:space="preserve"> </w:t>
      </w:r>
      <w:r w:rsidR="00A53CC3">
        <w:rPr>
          <w:rFonts w:ascii="Book Antiqua" w:eastAsia="Times New Roman" w:hAnsi="Book Antiqua" w:cs="Segoe UI"/>
          <w:lang w:eastAsia="es-CR"/>
        </w:rPr>
        <w:t xml:space="preserve">aprobado en sesión del Consejo Superior </w:t>
      </w:r>
      <w:r w:rsidR="00A53CC3" w:rsidRPr="007070FD">
        <w:rPr>
          <w:rFonts w:ascii="Book Antiqua" w:eastAsia="Times New Roman" w:hAnsi="Book Antiqua" w:cs="Segoe UI"/>
          <w:lang w:eastAsia="es-CR"/>
        </w:rPr>
        <w:t>28</w:t>
      </w:r>
      <w:r w:rsidR="00A53CC3">
        <w:rPr>
          <w:rFonts w:ascii="Book Antiqua" w:eastAsia="Times New Roman" w:hAnsi="Book Antiqua" w:cs="Segoe UI"/>
          <w:lang w:eastAsia="es-CR"/>
        </w:rPr>
        <w:t>-</w:t>
      </w:r>
      <w:r w:rsidR="00A53CC3" w:rsidRPr="007070FD">
        <w:rPr>
          <w:rFonts w:ascii="Book Antiqua" w:eastAsia="Times New Roman" w:hAnsi="Book Antiqua" w:cs="Segoe UI"/>
          <w:lang w:eastAsia="es-CR"/>
        </w:rPr>
        <w:t>2018, d</w:t>
      </w:r>
      <w:r w:rsidR="00A53CC3">
        <w:rPr>
          <w:rFonts w:ascii="Book Antiqua" w:eastAsia="Times New Roman" w:hAnsi="Book Antiqua" w:cs="Segoe UI"/>
          <w:lang w:eastAsia="es-CR"/>
        </w:rPr>
        <w:t xml:space="preserve">el </w:t>
      </w:r>
      <w:r w:rsidR="00A53CC3" w:rsidRPr="007070FD">
        <w:rPr>
          <w:rFonts w:ascii="Book Antiqua" w:eastAsia="Times New Roman" w:hAnsi="Book Antiqua" w:cs="Segoe UI"/>
          <w:lang w:eastAsia="es-CR"/>
        </w:rPr>
        <w:t xml:space="preserve">10 de </w:t>
      </w:r>
      <w:r w:rsidR="000A592C">
        <w:rPr>
          <w:rFonts w:ascii="Book Antiqua" w:eastAsia="Times New Roman" w:hAnsi="Book Antiqua" w:cs="Segoe UI"/>
          <w:lang w:eastAsia="es-CR"/>
        </w:rPr>
        <w:t>a</w:t>
      </w:r>
      <w:r w:rsidR="00A53CC3" w:rsidRPr="007070FD">
        <w:rPr>
          <w:rFonts w:ascii="Book Antiqua" w:eastAsia="Times New Roman" w:hAnsi="Book Antiqua" w:cs="Segoe UI"/>
          <w:lang w:eastAsia="es-CR"/>
        </w:rPr>
        <w:t>bril del 2018, artículo XLVIII</w:t>
      </w:r>
      <w:r w:rsidR="00A53CC3">
        <w:rPr>
          <w:rFonts w:ascii="Book Antiqua" w:eastAsia="Times New Roman" w:hAnsi="Book Antiqua" w:cs="Segoe UI"/>
          <w:lang w:eastAsia="es-CR"/>
        </w:rPr>
        <w:t>.</w:t>
      </w:r>
      <w:r w:rsidR="002E04BA" w:rsidRPr="00BA24ED">
        <w:rPr>
          <w:rFonts w:ascii="Book Antiqua" w:hAnsi="Book Antiqua"/>
        </w:rPr>
        <w:t xml:space="preserve">  </w:t>
      </w:r>
    </w:p>
    <w:p w14:paraId="104C4BD8" w14:textId="41E33C77" w:rsidR="001B0A32" w:rsidRPr="001B0A32" w:rsidRDefault="00A95BB5" w:rsidP="009C259C">
      <w:pPr>
        <w:pStyle w:val="Prrafodelista"/>
        <w:numPr>
          <w:ilvl w:val="0"/>
          <w:numId w:val="11"/>
        </w:numPr>
        <w:jc w:val="both"/>
        <w:rPr>
          <w:rFonts w:ascii="Book Antiqua" w:hAnsi="Book Antiqua"/>
        </w:rPr>
      </w:pPr>
      <w:r>
        <w:rPr>
          <w:rFonts w:ascii="Book Antiqua" w:hAnsi="Book Antiqua"/>
        </w:rPr>
        <w:t>O</w:t>
      </w:r>
      <w:r w:rsidR="002E04BA" w:rsidRPr="00BA24ED">
        <w:rPr>
          <w:rFonts w:ascii="Book Antiqua" w:hAnsi="Book Antiqua"/>
        </w:rPr>
        <w:t xml:space="preserve">ficio 191-PLA-MI-2019 relacionado con los planes de trabajo 2019 para la Segunda Instancia en materia Civil y Laboral, </w:t>
      </w:r>
      <w:r w:rsidR="00FE78D4" w:rsidRPr="00E409A1">
        <w:rPr>
          <w:rFonts w:ascii="Book Antiqua" w:hAnsi="Book Antiqua"/>
        </w:rPr>
        <w:t>conocido en sesión N° 21-19 celebrada el 7 de marzo de 2019, artículo XLVII.</w:t>
      </w:r>
    </w:p>
    <w:p w14:paraId="28F18A3A" w14:textId="66C1242D" w:rsidR="00AB5471" w:rsidRDefault="00A95BB5" w:rsidP="009C259C">
      <w:pPr>
        <w:pStyle w:val="Prrafodelista"/>
        <w:numPr>
          <w:ilvl w:val="0"/>
          <w:numId w:val="11"/>
        </w:numPr>
        <w:jc w:val="both"/>
        <w:rPr>
          <w:rFonts w:ascii="Book Antiqua" w:hAnsi="Book Antiqua"/>
        </w:rPr>
      </w:pPr>
      <w:r>
        <w:rPr>
          <w:rFonts w:ascii="Book Antiqua" w:hAnsi="Book Antiqua"/>
        </w:rPr>
        <w:t>O</w:t>
      </w:r>
      <w:r w:rsidR="001B0A32" w:rsidRPr="00BA24ED">
        <w:rPr>
          <w:rFonts w:ascii="Book Antiqua" w:hAnsi="Book Antiqua"/>
        </w:rPr>
        <w:t xml:space="preserve">ficio </w:t>
      </w:r>
      <w:r w:rsidR="002E04BA" w:rsidRPr="00BA24ED">
        <w:rPr>
          <w:rFonts w:ascii="Book Antiqua" w:hAnsi="Book Antiqua"/>
        </w:rPr>
        <w:t xml:space="preserve">591-PLA-MI-2019 </w:t>
      </w:r>
      <w:r w:rsidR="001B0A32" w:rsidRPr="00BA24ED">
        <w:rPr>
          <w:rFonts w:ascii="Book Antiqua" w:hAnsi="Book Antiqua"/>
        </w:rPr>
        <w:t>relacionado con los planes de trabajo 2019 para la Segunda Instancia en materia Civil y Trabajo</w:t>
      </w:r>
      <w:r w:rsidR="00FE78D4" w:rsidRPr="00E409A1">
        <w:rPr>
          <w:rFonts w:ascii="Book Antiqua" w:hAnsi="Book Antiqua"/>
        </w:rPr>
        <w:t xml:space="preserve"> conocido por el Consejo Superior en sesión 43-2019, del 14 de mayo del 2019, artículo XLV.</w:t>
      </w:r>
    </w:p>
    <w:p w14:paraId="1DF5860C" w14:textId="27FD096B" w:rsidR="00D10EF2" w:rsidRPr="00BA24ED" w:rsidRDefault="00A95BB5" w:rsidP="009C259C">
      <w:pPr>
        <w:pStyle w:val="Prrafodelista"/>
        <w:numPr>
          <w:ilvl w:val="0"/>
          <w:numId w:val="11"/>
        </w:numPr>
        <w:jc w:val="both"/>
        <w:rPr>
          <w:rFonts w:ascii="Book Antiqua" w:hAnsi="Book Antiqua"/>
        </w:rPr>
      </w:pPr>
      <w:r>
        <w:rPr>
          <w:rFonts w:ascii="Book Antiqua" w:hAnsi="Book Antiqua"/>
        </w:rPr>
        <w:t>Oficio</w:t>
      </w:r>
      <w:r w:rsidR="00D10EF2">
        <w:rPr>
          <w:rFonts w:ascii="Book Antiqua" w:hAnsi="Book Antiqua"/>
        </w:rPr>
        <w:t xml:space="preserve"> 1423-PLA-EV-2019 relacionado con </w:t>
      </w:r>
      <w:r w:rsidR="00D10EF2" w:rsidRPr="00BA24ED">
        <w:rPr>
          <w:rFonts w:ascii="Book Antiqua" w:hAnsi="Book Antiqua"/>
        </w:rPr>
        <w:t>diseñar un plan de apoyo para la Jurisdicción Laboral en el dictado de sentencias, debido a la importante cantidad de asuntos que están a la espera de una resolución definitiva</w:t>
      </w:r>
      <w:r w:rsidR="00CB2311">
        <w:rPr>
          <w:rFonts w:ascii="Book Antiqua" w:eastAsia="Times New Roman" w:hAnsi="Book Antiqua" w:cs="Segoe UI"/>
          <w:lang w:eastAsia="es-CR"/>
        </w:rPr>
        <w:t xml:space="preserve">, mismo se conoció por el Consejo Superior en sesión </w:t>
      </w:r>
      <w:r w:rsidR="00CB2311" w:rsidRPr="00187001">
        <w:rPr>
          <w:rFonts w:ascii="Book Antiqua" w:eastAsia="Times New Roman" w:hAnsi="Book Antiqua" w:cs="Segoe UI"/>
          <w:lang w:eastAsia="es-CR"/>
        </w:rPr>
        <w:t>79</w:t>
      </w:r>
      <w:r w:rsidR="00CB2311">
        <w:rPr>
          <w:rFonts w:ascii="Book Antiqua" w:eastAsia="Times New Roman" w:hAnsi="Book Antiqua" w:cs="Segoe UI"/>
          <w:lang w:eastAsia="es-CR"/>
        </w:rPr>
        <w:t>-</w:t>
      </w:r>
      <w:r w:rsidR="00CB2311" w:rsidRPr="00187001">
        <w:rPr>
          <w:rFonts w:ascii="Book Antiqua" w:eastAsia="Times New Roman" w:hAnsi="Book Antiqua" w:cs="Segoe UI"/>
          <w:lang w:eastAsia="es-CR"/>
        </w:rPr>
        <w:t>2019</w:t>
      </w:r>
      <w:r w:rsidR="00CB2311">
        <w:rPr>
          <w:rFonts w:ascii="Book Antiqua" w:eastAsia="Times New Roman" w:hAnsi="Book Antiqua" w:cs="Segoe UI"/>
          <w:lang w:eastAsia="es-CR"/>
        </w:rPr>
        <w:t xml:space="preserve">, </w:t>
      </w:r>
      <w:r w:rsidR="00CB2311" w:rsidRPr="007070FD">
        <w:rPr>
          <w:rFonts w:ascii="Book Antiqua" w:eastAsia="Times New Roman" w:hAnsi="Book Antiqua" w:cs="Segoe UI"/>
          <w:lang w:eastAsia="es-CR"/>
        </w:rPr>
        <w:t>10 de Setiembre del 2019</w:t>
      </w:r>
      <w:r w:rsidR="00D10EF2" w:rsidRPr="00BA24ED">
        <w:rPr>
          <w:rFonts w:ascii="Book Antiqua" w:hAnsi="Book Antiqua"/>
        </w:rPr>
        <w:t xml:space="preserve">. </w:t>
      </w:r>
    </w:p>
    <w:p w14:paraId="4769873C" w14:textId="1A95D061" w:rsidR="00A95BB5" w:rsidRPr="00BA24ED" w:rsidRDefault="00D10EF2" w:rsidP="009C259C">
      <w:pPr>
        <w:pStyle w:val="Prrafodelista"/>
        <w:numPr>
          <w:ilvl w:val="0"/>
          <w:numId w:val="11"/>
        </w:numPr>
        <w:jc w:val="both"/>
        <w:rPr>
          <w:rFonts w:ascii="Book Antiqua" w:hAnsi="Book Antiqua"/>
        </w:rPr>
      </w:pPr>
      <w:r w:rsidRPr="00A95BB5">
        <w:rPr>
          <w:rFonts w:ascii="Book Antiqua" w:hAnsi="Book Antiqua"/>
        </w:rPr>
        <w:t>Oficio 1893-PLA-EV-2019</w:t>
      </w:r>
      <w:r w:rsidR="00A95BB5" w:rsidRPr="00A95BB5">
        <w:rPr>
          <w:rFonts w:ascii="Book Antiqua" w:hAnsi="Book Antiqua"/>
        </w:rPr>
        <w:t xml:space="preserve"> </w:t>
      </w:r>
      <w:r w:rsidR="00A95BB5" w:rsidRPr="00BA24ED">
        <w:rPr>
          <w:rFonts w:ascii="Book Antiqua" w:hAnsi="Book Antiqua"/>
        </w:rPr>
        <w:t>relacionado con el plan de descongestionamiento para materia Laboral utilizando siete plazas de Juez 3, a los cuales se les otorgó permiso con goce de salario y sustitución de acuerdo con el artículo 44 de la Ley Orgánica del Poder Judicial</w:t>
      </w:r>
      <w:r w:rsidR="00253F09">
        <w:rPr>
          <w:rFonts w:ascii="Book Antiqua" w:hAnsi="Book Antiqua"/>
        </w:rPr>
        <w:t xml:space="preserve">; </w:t>
      </w:r>
      <w:r w:rsidR="00253F09" w:rsidRPr="007070FD">
        <w:rPr>
          <w:rFonts w:ascii="Book Antiqua" w:eastAsia="Times New Roman" w:hAnsi="Book Antiqua" w:cs="Segoe UI"/>
          <w:lang w:eastAsia="es-CR"/>
        </w:rPr>
        <w:t>dicho informe fue conocido por el Consejo Superior en sesión 99-2019, del 12 de noviembre del 2019, artículo XCV</w:t>
      </w:r>
      <w:r w:rsidR="00A95BB5" w:rsidDel="00253F09">
        <w:rPr>
          <w:rFonts w:ascii="Book Antiqua" w:eastAsia="Times New Roman" w:hAnsi="Book Antiqua" w:cs="Segoe UI"/>
          <w:lang w:eastAsia="es-CR"/>
        </w:rPr>
        <w:t>.</w:t>
      </w:r>
    </w:p>
    <w:p w14:paraId="1E20E149" w14:textId="01E04FBF" w:rsidR="00627CE8" w:rsidRDefault="00627CE8" w:rsidP="00881724">
      <w:pPr>
        <w:spacing w:line="276" w:lineRule="auto"/>
        <w:jc w:val="both"/>
        <w:rPr>
          <w:rFonts w:ascii="Book Antiqua" w:hAnsi="Book Antiqua"/>
        </w:rPr>
      </w:pPr>
    </w:p>
    <w:p w14:paraId="155FF4EE" w14:textId="1D441E30" w:rsidR="006E6CBA" w:rsidRDefault="006E6CBA" w:rsidP="00881724">
      <w:pPr>
        <w:spacing w:line="276" w:lineRule="auto"/>
        <w:jc w:val="both"/>
        <w:rPr>
          <w:rFonts w:ascii="Book Antiqua" w:hAnsi="Book Antiqua"/>
        </w:rPr>
      </w:pPr>
    </w:p>
    <w:p w14:paraId="5946EC1B" w14:textId="10DCAB64" w:rsidR="006E6CBA" w:rsidRDefault="006E6CBA" w:rsidP="00881724">
      <w:pPr>
        <w:spacing w:line="276" w:lineRule="auto"/>
        <w:jc w:val="both"/>
        <w:rPr>
          <w:rFonts w:ascii="Book Antiqua" w:hAnsi="Book Antiqua"/>
        </w:rPr>
      </w:pPr>
    </w:p>
    <w:p w14:paraId="7CA7DE29" w14:textId="4F02CBFF" w:rsidR="006E6CBA" w:rsidRDefault="006E6CBA" w:rsidP="00881724">
      <w:pPr>
        <w:spacing w:line="276" w:lineRule="auto"/>
        <w:jc w:val="both"/>
        <w:rPr>
          <w:rFonts w:ascii="Book Antiqua" w:hAnsi="Book Antiqua"/>
        </w:rPr>
      </w:pPr>
    </w:p>
    <w:p w14:paraId="3958CE47" w14:textId="77777777" w:rsidR="006E6CBA" w:rsidRDefault="006E6CBA" w:rsidP="00881724">
      <w:pPr>
        <w:spacing w:line="276" w:lineRule="auto"/>
        <w:jc w:val="both"/>
        <w:rPr>
          <w:rFonts w:ascii="Book Antiqua" w:hAnsi="Book Antiqua"/>
        </w:rPr>
      </w:pPr>
    </w:p>
    <w:p w14:paraId="0A443686" w14:textId="78959B40" w:rsidR="00787FB1" w:rsidRDefault="00787FB1" w:rsidP="008E682F">
      <w:pPr>
        <w:pStyle w:val="Ttulo2"/>
      </w:pPr>
      <w:r>
        <w:t xml:space="preserve">Análisis de solicitudes realizadas por el Consejo Superior y otros </w:t>
      </w:r>
    </w:p>
    <w:p w14:paraId="27D31240" w14:textId="676FF099" w:rsidR="00796D77" w:rsidRDefault="00796D77" w:rsidP="00881724">
      <w:pPr>
        <w:spacing w:line="276" w:lineRule="auto"/>
        <w:jc w:val="both"/>
        <w:rPr>
          <w:rFonts w:ascii="Book Antiqua" w:hAnsi="Book Antiqua"/>
        </w:rPr>
      </w:pPr>
    </w:p>
    <w:p w14:paraId="1AC9D989" w14:textId="068F51B0" w:rsidR="00796D77" w:rsidRPr="00D82DA9" w:rsidRDefault="00881337" w:rsidP="009C259C">
      <w:pPr>
        <w:pStyle w:val="Ttulo3"/>
        <w:numPr>
          <w:ilvl w:val="1"/>
          <w:numId w:val="1"/>
        </w:numPr>
        <w:jc w:val="both"/>
        <w:rPr>
          <w:rFonts w:ascii="Book Antiqua" w:hAnsi="Book Antiqua"/>
          <w:b/>
          <w:bCs/>
        </w:rPr>
      </w:pPr>
      <w:r w:rsidRPr="002C2B67">
        <w:rPr>
          <w:rFonts w:ascii="Book Antiqua" w:hAnsi="Book Antiqua"/>
          <w:b/>
          <w:bCs/>
        </w:rPr>
        <w:t>Actualización de la d</w:t>
      </w:r>
      <w:r w:rsidR="00796D77" w:rsidRPr="002C2B67">
        <w:rPr>
          <w:rFonts w:ascii="Book Antiqua" w:hAnsi="Book Antiqua"/>
          <w:b/>
          <w:bCs/>
        </w:rPr>
        <w:t xml:space="preserve">istribución de cuota de trabajo </w:t>
      </w:r>
      <w:r w:rsidR="006C3B70" w:rsidRPr="0053269D">
        <w:rPr>
          <w:rFonts w:ascii="Book Antiqua" w:hAnsi="Book Antiqua"/>
          <w:b/>
          <w:bCs/>
        </w:rPr>
        <w:t xml:space="preserve">por materia </w:t>
      </w:r>
      <w:r w:rsidR="00796D77" w:rsidRPr="00967DCE">
        <w:rPr>
          <w:rFonts w:ascii="Book Antiqua" w:hAnsi="Book Antiqua"/>
          <w:b/>
          <w:bCs/>
        </w:rPr>
        <w:t>para el personal juzgador</w:t>
      </w:r>
      <w:r w:rsidR="006C3B70" w:rsidRPr="000F6C40">
        <w:rPr>
          <w:rFonts w:ascii="Book Antiqua" w:hAnsi="Book Antiqua"/>
          <w:b/>
          <w:bCs/>
        </w:rPr>
        <w:t xml:space="preserve"> de los Tribunales de Apelación Civi</w:t>
      </w:r>
      <w:r w:rsidR="0049461C" w:rsidRPr="00041107">
        <w:rPr>
          <w:rFonts w:ascii="Book Antiqua" w:hAnsi="Book Antiqua"/>
          <w:b/>
          <w:bCs/>
        </w:rPr>
        <w:t>l</w:t>
      </w:r>
      <w:r w:rsidR="006C3B70" w:rsidRPr="00041107">
        <w:rPr>
          <w:rFonts w:ascii="Book Antiqua" w:hAnsi="Book Antiqua"/>
          <w:b/>
          <w:bCs/>
        </w:rPr>
        <w:t xml:space="preserve"> y Laboral</w:t>
      </w:r>
      <w:r w:rsidR="00291398" w:rsidRPr="00D82DA9">
        <w:rPr>
          <w:rFonts w:ascii="Book Antiqua" w:hAnsi="Book Antiqua"/>
          <w:b/>
          <w:bCs/>
        </w:rPr>
        <w:t xml:space="preserve"> (Mixto)</w:t>
      </w:r>
      <w:r w:rsidR="00796D77" w:rsidRPr="00D82DA9">
        <w:rPr>
          <w:rFonts w:ascii="Book Antiqua" w:hAnsi="Book Antiqua"/>
          <w:b/>
          <w:bCs/>
        </w:rPr>
        <w:t>:</w:t>
      </w:r>
    </w:p>
    <w:p w14:paraId="124DC322" w14:textId="77777777" w:rsidR="00796D77" w:rsidRPr="00796D77" w:rsidRDefault="00796D77" w:rsidP="00193FD1"/>
    <w:p w14:paraId="4CAB1FD4" w14:textId="2993FD02" w:rsidR="00796D77" w:rsidRPr="00410ED4" w:rsidRDefault="00881337" w:rsidP="00796D77">
      <w:pPr>
        <w:spacing w:line="276" w:lineRule="auto"/>
        <w:jc w:val="both"/>
        <w:rPr>
          <w:rFonts w:ascii="Book Antiqua" w:hAnsi="Book Antiqua" w:cs="Book Antiqua"/>
        </w:rPr>
      </w:pPr>
      <w:r>
        <w:rPr>
          <w:rFonts w:ascii="Book Antiqua" w:hAnsi="Book Antiqua"/>
        </w:rPr>
        <w:t>La cuota de trabajo actual para Tribunales mixtos es de 17 asuntos terminados por plaza de persona juzgadora, cuota que se ajusta al promedio de asuntos terminados por plaza en el periodo 2018</w:t>
      </w:r>
      <w:r w:rsidR="00320723">
        <w:rPr>
          <w:rFonts w:ascii="Book Antiqua" w:hAnsi="Book Antiqua"/>
        </w:rPr>
        <w:t>,</w:t>
      </w:r>
      <w:r w:rsidR="005F6403">
        <w:rPr>
          <w:rFonts w:ascii="Book Antiqua" w:hAnsi="Book Antiqua"/>
        </w:rPr>
        <w:t xml:space="preserve"> </w:t>
      </w:r>
      <w:r>
        <w:rPr>
          <w:rFonts w:ascii="Book Antiqua" w:hAnsi="Book Antiqua"/>
        </w:rPr>
        <w:t>2019</w:t>
      </w:r>
      <w:r w:rsidR="00BC3D90">
        <w:rPr>
          <w:rFonts w:ascii="Book Antiqua" w:hAnsi="Book Antiqua"/>
        </w:rPr>
        <w:t>,</w:t>
      </w:r>
      <w:r w:rsidR="005F6403">
        <w:rPr>
          <w:rFonts w:ascii="Book Antiqua" w:hAnsi="Book Antiqua"/>
        </w:rPr>
        <w:t xml:space="preserve"> </w:t>
      </w:r>
      <w:r w:rsidR="00320723">
        <w:rPr>
          <w:rFonts w:ascii="Book Antiqua" w:hAnsi="Book Antiqua"/>
        </w:rPr>
        <w:t>2020 y primer semestre del 2021</w:t>
      </w:r>
      <w:r w:rsidR="00BC3D90">
        <w:rPr>
          <w:rFonts w:ascii="Book Antiqua" w:hAnsi="Book Antiqua"/>
        </w:rPr>
        <w:t xml:space="preserve"> que fue </w:t>
      </w:r>
      <w:r w:rsidR="00BC3D90" w:rsidRPr="00A72161">
        <w:rPr>
          <w:rFonts w:ascii="Book Antiqua" w:hAnsi="Book Antiqua"/>
        </w:rPr>
        <w:t xml:space="preserve">de </w:t>
      </w:r>
      <w:r w:rsidR="00131CBC" w:rsidRPr="00A72161">
        <w:rPr>
          <w:rFonts w:ascii="Book Antiqua" w:hAnsi="Book Antiqua"/>
        </w:rPr>
        <w:t xml:space="preserve">20 </w:t>
      </w:r>
      <w:r w:rsidR="00BC3D90" w:rsidRPr="00A72161">
        <w:rPr>
          <w:rFonts w:ascii="Book Antiqua" w:hAnsi="Book Antiqua"/>
        </w:rPr>
        <w:t>terminados</w:t>
      </w:r>
      <w:r w:rsidR="006B2E74">
        <w:rPr>
          <w:rFonts w:ascii="Book Antiqua" w:hAnsi="Book Antiqua"/>
        </w:rPr>
        <w:t>,</w:t>
      </w:r>
      <w:r>
        <w:rPr>
          <w:rFonts w:ascii="Book Antiqua" w:hAnsi="Book Antiqua"/>
        </w:rPr>
        <w:t xml:space="preserve"> c</w:t>
      </w:r>
      <w:r w:rsidR="00796D77">
        <w:rPr>
          <w:rFonts w:ascii="Book Antiqua" w:hAnsi="Book Antiqua"/>
        </w:rPr>
        <w:t xml:space="preserve">onforme al </w:t>
      </w:r>
      <w:r w:rsidR="00097741">
        <w:rPr>
          <w:rFonts w:ascii="Book Antiqua" w:hAnsi="Book Antiqua"/>
        </w:rPr>
        <w:t>análisis</w:t>
      </w:r>
      <w:r w:rsidR="00796D77">
        <w:rPr>
          <w:rFonts w:ascii="Book Antiqua" w:hAnsi="Book Antiqua"/>
        </w:rPr>
        <w:t xml:space="preserve"> realizado los apartados</w:t>
      </w:r>
      <w:r w:rsidR="00796D77" w:rsidRPr="00410ED4">
        <w:rPr>
          <w:rFonts w:ascii="Book Antiqua" w:hAnsi="Book Antiqua"/>
        </w:rPr>
        <w:t xml:space="preserve"> anteriores</w:t>
      </w:r>
      <w:r>
        <w:rPr>
          <w:rFonts w:ascii="Book Antiqua" w:hAnsi="Book Antiqua"/>
        </w:rPr>
        <w:t>. El dato de 17 asuntos terminados</w:t>
      </w:r>
      <w:r w:rsidR="00796D77" w:rsidRPr="00410ED4">
        <w:rPr>
          <w:rFonts w:ascii="Book Antiqua" w:hAnsi="Book Antiqua"/>
        </w:rPr>
        <w:t xml:space="preserve"> </w:t>
      </w:r>
      <w:r w:rsidR="00796D77" w:rsidRPr="00193FD1">
        <w:rPr>
          <w:rFonts w:ascii="Book Antiqua" w:hAnsi="Book Antiqua"/>
        </w:rPr>
        <w:t xml:space="preserve">al </w:t>
      </w:r>
      <w:r w:rsidR="00D6643F" w:rsidRPr="00193FD1">
        <w:rPr>
          <w:rFonts w:ascii="Book Antiqua" w:hAnsi="Book Antiqua"/>
        </w:rPr>
        <w:t>mes</w:t>
      </w:r>
      <w:r w:rsidR="00796D77" w:rsidRPr="00A95BB5">
        <w:rPr>
          <w:rFonts w:ascii="Book Antiqua" w:hAnsi="Book Antiqua"/>
        </w:rPr>
        <w:t xml:space="preserve"> </w:t>
      </w:r>
      <w:r w:rsidR="00CD373F">
        <w:rPr>
          <w:rFonts w:ascii="Book Antiqua" w:hAnsi="Book Antiqua"/>
        </w:rPr>
        <w:t>corresponde</w:t>
      </w:r>
      <w:r w:rsidR="00796D77" w:rsidRPr="00A95BB5">
        <w:rPr>
          <w:rFonts w:ascii="Book Antiqua" w:hAnsi="Book Antiqua"/>
        </w:rPr>
        <w:t xml:space="preserve"> a lo emitido en el </w:t>
      </w:r>
      <w:r w:rsidR="00796D77" w:rsidRPr="00F055A0">
        <w:rPr>
          <w:rFonts w:ascii="Book Antiqua" w:hAnsi="Book Antiqua" w:cs="Book Antiqua"/>
        </w:rPr>
        <w:t>informe de la Dirección de Planificación 1127-PLA-2017, relaciona</w:t>
      </w:r>
      <w:r w:rsidR="00796D77" w:rsidRPr="00CE02AD">
        <w:rPr>
          <w:rFonts w:ascii="Book Antiqua" w:hAnsi="Book Antiqua" w:cs="Book Antiqua"/>
        </w:rPr>
        <w:t>do con el estudio para determinar las cuotas de trabajo en los Tribunales que atienden las apelaciones en materia Laboral y Civil del país</w:t>
      </w:r>
      <w:r w:rsidR="00444AD7">
        <w:rPr>
          <w:rFonts w:ascii="Book Antiqua" w:hAnsi="Book Antiqua" w:cs="Book Antiqua"/>
        </w:rPr>
        <w:t xml:space="preserve"> (Mixto)</w:t>
      </w:r>
      <w:r w:rsidR="00796D77" w:rsidRPr="00CE02AD">
        <w:rPr>
          <w:rFonts w:ascii="Book Antiqua" w:hAnsi="Book Antiqua" w:cs="Book Antiqua"/>
        </w:rPr>
        <w:t>, aprobado por el Consejo Superior en sesión 44-17 del 6 de julio de 2017, artículo XXXII</w:t>
      </w:r>
      <w:r>
        <w:rPr>
          <w:rFonts w:ascii="Book Antiqua" w:hAnsi="Book Antiqua" w:cs="Book Antiqua"/>
        </w:rPr>
        <w:t>.</w:t>
      </w:r>
    </w:p>
    <w:p w14:paraId="500EA4F1" w14:textId="77777777" w:rsidR="00367B1E" w:rsidRDefault="00367B1E" w:rsidP="00796D77">
      <w:pPr>
        <w:jc w:val="both"/>
        <w:rPr>
          <w:rFonts w:ascii="Book Antiqua" w:hAnsi="Book Antiqua" w:cs="Book Antiqua"/>
        </w:rPr>
      </w:pPr>
    </w:p>
    <w:p w14:paraId="6BE7B4E5" w14:textId="64131ED6" w:rsidR="006E6CBA" w:rsidRPr="00535C15" w:rsidRDefault="00881337" w:rsidP="00535C15">
      <w:pPr>
        <w:jc w:val="both"/>
        <w:rPr>
          <w:rFonts w:ascii="Book Antiqua" w:hAnsi="Book Antiqua" w:cs="Book Antiqua"/>
        </w:rPr>
      </w:pPr>
      <w:r>
        <w:rPr>
          <w:rFonts w:ascii="Book Antiqua" w:hAnsi="Book Antiqua" w:cs="Book Antiqua"/>
        </w:rPr>
        <w:t xml:space="preserve">La distribución por materia de esa </w:t>
      </w:r>
      <w:r w:rsidR="00796D77" w:rsidRPr="00410ED4">
        <w:rPr>
          <w:rFonts w:ascii="Book Antiqua" w:hAnsi="Book Antiqua" w:cs="Book Antiqua"/>
        </w:rPr>
        <w:t xml:space="preserve">cuota de trabajo de 17 </w:t>
      </w:r>
      <w:r w:rsidR="00796D77" w:rsidRPr="00EB031E">
        <w:rPr>
          <w:rFonts w:ascii="Book Antiqua" w:hAnsi="Book Antiqua" w:cs="Book Antiqua"/>
          <w:b/>
          <w:bCs/>
        </w:rPr>
        <w:t>sentencias</w:t>
      </w:r>
      <w:r w:rsidR="00796D77" w:rsidRPr="00410ED4">
        <w:rPr>
          <w:rFonts w:ascii="Book Antiqua" w:hAnsi="Book Antiqua" w:cs="Book Antiqua"/>
        </w:rPr>
        <w:t xml:space="preserve"> mínimas por persona juzgadora</w:t>
      </w:r>
      <w:r>
        <w:rPr>
          <w:rFonts w:ascii="Book Antiqua" w:hAnsi="Book Antiqua" w:cs="Book Antiqua"/>
        </w:rPr>
        <w:t xml:space="preserve">, se ajusta a </w:t>
      </w:r>
      <w:r w:rsidR="00796D77">
        <w:rPr>
          <w:rFonts w:ascii="Book Antiqua" w:hAnsi="Book Antiqua" w:cs="Book Antiqua"/>
        </w:rPr>
        <w:t>la distribución de la entrada por materia</w:t>
      </w:r>
      <w:r>
        <w:rPr>
          <w:rFonts w:ascii="Book Antiqua" w:hAnsi="Book Antiqua" w:cs="Book Antiqua"/>
        </w:rPr>
        <w:t xml:space="preserve"> del Tribunal</w:t>
      </w:r>
      <w:r w:rsidR="00796D77">
        <w:rPr>
          <w:rFonts w:ascii="Book Antiqua" w:hAnsi="Book Antiqua" w:cs="Book Antiqua"/>
        </w:rPr>
        <w:t>, según lo analizado en párrafos anteriores</w:t>
      </w:r>
      <w:r w:rsidR="00796D77" w:rsidRPr="00410ED4">
        <w:rPr>
          <w:rFonts w:ascii="Book Antiqua" w:hAnsi="Book Antiqua" w:cs="Book Antiqua"/>
        </w:rPr>
        <w:t xml:space="preserve">, se </w:t>
      </w:r>
      <w:r>
        <w:rPr>
          <w:rFonts w:ascii="Book Antiqua" w:hAnsi="Book Antiqua" w:cs="Book Antiqua"/>
        </w:rPr>
        <w:t>actualiza</w:t>
      </w:r>
      <w:r w:rsidRPr="00410ED4">
        <w:rPr>
          <w:rFonts w:ascii="Book Antiqua" w:hAnsi="Book Antiqua" w:cs="Book Antiqua"/>
        </w:rPr>
        <w:t xml:space="preserve"> </w:t>
      </w:r>
      <w:r w:rsidR="00796D77" w:rsidRPr="00410ED4">
        <w:rPr>
          <w:rFonts w:ascii="Book Antiqua" w:hAnsi="Book Antiqua" w:cs="Book Antiqua"/>
        </w:rPr>
        <w:t>l</w:t>
      </w:r>
      <w:r w:rsidR="00796D77">
        <w:rPr>
          <w:rFonts w:ascii="Book Antiqua" w:hAnsi="Book Antiqua" w:cs="Book Antiqua"/>
        </w:rPr>
        <w:t>a</w:t>
      </w:r>
      <w:r>
        <w:rPr>
          <w:rFonts w:ascii="Book Antiqua" w:hAnsi="Book Antiqua" w:cs="Book Antiqua"/>
        </w:rPr>
        <w:t xml:space="preserve"> </w:t>
      </w:r>
      <w:r w:rsidR="00796D77">
        <w:rPr>
          <w:rFonts w:ascii="Book Antiqua" w:hAnsi="Book Antiqua" w:cs="Book Antiqua"/>
        </w:rPr>
        <w:t>distribución de la composición de las cuotas en los distintos Tribunales</w:t>
      </w:r>
      <w:r>
        <w:rPr>
          <w:rFonts w:ascii="Book Antiqua" w:hAnsi="Book Antiqua" w:cs="Book Antiqua"/>
        </w:rPr>
        <w:t xml:space="preserve"> considerando la carga de trabajo en el periodo 2018</w:t>
      </w:r>
      <w:r w:rsidR="00131CBC">
        <w:rPr>
          <w:rFonts w:ascii="Book Antiqua" w:hAnsi="Book Antiqua" w:cs="Book Antiqua"/>
        </w:rPr>
        <w:t>,</w:t>
      </w:r>
      <w:r w:rsidR="005F6403">
        <w:rPr>
          <w:rFonts w:ascii="Book Antiqua" w:hAnsi="Book Antiqua" w:cs="Book Antiqua"/>
        </w:rPr>
        <w:t xml:space="preserve"> </w:t>
      </w:r>
      <w:r>
        <w:rPr>
          <w:rFonts w:ascii="Book Antiqua" w:hAnsi="Book Antiqua" w:cs="Book Antiqua"/>
        </w:rPr>
        <w:t>2019</w:t>
      </w:r>
      <w:r w:rsidR="00131CBC">
        <w:rPr>
          <w:rFonts w:ascii="Book Antiqua" w:hAnsi="Book Antiqua" w:cs="Book Antiqua"/>
        </w:rPr>
        <w:t>,</w:t>
      </w:r>
      <w:r w:rsidR="005F6403">
        <w:rPr>
          <w:rFonts w:ascii="Book Antiqua" w:hAnsi="Book Antiqua" w:cs="Book Antiqua"/>
        </w:rPr>
        <w:t xml:space="preserve"> </w:t>
      </w:r>
      <w:r w:rsidR="00131CBC">
        <w:rPr>
          <w:rFonts w:ascii="Book Antiqua" w:hAnsi="Book Antiqua" w:cs="Book Antiqua"/>
        </w:rPr>
        <w:t>2020 y primer semestre 2021</w:t>
      </w:r>
      <w:r w:rsidR="00796D77" w:rsidRPr="00410ED4">
        <w:rPr>
          <w:rFonts w:ascii="Book Antiqua" w:hAnsi="Book Antiqua" w:cs="Book Antiqua"/>
        </w:rPr>
        <w:t>:</w:t>
      </w:r>
    </w:p>
    <w:p w14:paraId="0D3FDE4B" w14:textId="450A57BE" w:rsidR="00E56F97" w:rsidRPr="00410ED4" w:rsidRDefault="00E56F97" w:rsidP="00E56F97">
      <w:pPr>
        <w:keepNext/>
        <w:widowControl w:val="0"/>
        <w:autoSpaceDE w:val="0"/>
        <w:autoSpaceDN w:val="0"/>
        <w:adjustRightInd w:val="0"/>
        <w:spacing w:after="0" w:line="240" w:lineRule="auto"/>
        <w:jc w:val="center"/>
        <w:rPr>
          <w:rFonts w:ascii="Book Antiqua" w:eastAsia="Times New Roman" w:hAnsi="Book Antiqua" w:cs="Arial"/>
          <w:b/>
          <w:bCs/>
          <w:color w:val="1F497D" w:themeColor="text2"/>
          <w:lang w:eastAsia="es-ES"/>
        </w:rPr>
      </w:pPr>
      <w:r w:rsidRPr="00410ED4">
        <w:rPr>
          <w:rFonts w:ascii="Book Antiqua" w:eastAsia="Times New Roman" w:hAnsi="Book Antiqua" w:cs="Arial"/>
          <w:b/>
          <w:bCs/>
          <w:color w:val="1F497D" w:themeColor="text2"/>
          <w:lang w:eastAsia="es-ES"/>
        </w:rPr>
        <w:t xml:space="preserve">Cuadro </w:t>
      </w:r>
      <w:r w:rsidRPr="00410ED4">
        <w:rPr>
          <w:rFonts w:ascii="Book Antiqua" w:eastAsia="Times New Roman" w:hAnsi="Book Antiqua" w:cs="Arial"/>
          <w:b/>
          <w:bCs/>
          <w:color w:val="1F497D" w:themeColor="text2"/>
          <w:lang w:eastAsia="es-ES"/>
        </w:rPr>
        <w:fldChar w:fldCharType="begin"/>
      </w:r>
      <w:r w:rsidRPr="00410ED4">
        <w:rPr>
          <w:rFonts w:ascii="Book Antiqua" w:eastAsia="Times New Roman" w:hAnsi="Book Antiqua" w:cs="Arial"/>
          <w:b/>
          <w:bCs/>
          <w:color w:val="1F497D" w:themeColor="text2"/>
          <w:lang w:eastAsia="es-ES"/>
        </w:rPr>
        <w:instrText xml:space="preserve"> SEQ Cuadro \* ARABIC </w:instrText>
      </w:r>
      <w:r w:rsidRPr="00410ED4">
        <w:rPr>
          <w:rFonts w:ascii="Book Antiqua" w:eastAsia="Times New Roman" w:hAnsi="Book Antiqua" w:cs="Arial"/>
          <w:b/>
          <w:bCs/>
          <w:color w:val="1F497D" w:themeColor="text2"/>
          <w:lang w:eastAsia="es-ES"/>
        </w:rPr>
        <w:fldChar w:fldCharType="separate"/>
      </w:r>
      <w:r w:rsidR="00DB3347">
        <w:rPr>
          <w:rFonts w:ascii="Book Antiqua" w:eastAsia="Times New Roman" w:hAnsi="Book Antiqua" w:cs="Arial"/>
          <w:b/>
          <w:bCs/>
          <w:noProof/>
          <w:color w:val="1F497D" w:themeColor="text2"/>
          <w:lang w:eastAsia="es-ES"/>
        </w:rPr>
        <w:t>9</w:t>
      </w:r>
      <w:r w:rsidRPr="00410ED4">
        <w:rPr>
          <w:rFonts w:ascii="Book Antiqua" w:eastAsia="Times New Roman" w:hAnsi="Book Antiqua" w:cs="Arial"/>
          <w:b/>
          <w:bCs/>
          <w:color w:val="1F497D" w:themeColor="text2"/>
          <w:lang w:eastAsia="es-ES"/>
        </w:rPr>
        <w:fldChar w:fldCharType="end"/>
      </w:r>
    </w:p>
    <w:p w14:paraId="663FA961" w14:textId="07F05C37" w:rsidR="00E56F97" w:rsidRDefault="00E56F97" w:rsidP="00E56F97">
      <w:pPr>
        <w:keepNext/>
        <w:widowControl w:val="0"/>
        <w:autoSpaceDE w:val="0"/>
        <w:autoSpaceDN w:val="0"/>
        <w:adjustRightInd w:val="0"/>
        <w:spacing w:after="0" w:line="240" w:lineRule="auto"/>
        <w:jc w:val="center"/>
        <w:rPr>
          <w:rFonts w:ascii="Book Antiqua" w:eastAsia="Times New Roman" w:hAnsi="Book Antiqua" w:cs="Arial"/>
          <w:b/>
          <w:bCs/>
          <w:color w:val="1F497D" w:themeColor="text2"/>
          <w:lang w:eastAsia="es-ES"/>
        </w:rPr>
      </w:pPr>
      <w:r>
        <w:rPr>
          <w:rFonts w:ascii="Book Antiqua" w:eastAsia="Times New Roman" w:hAnsi="Book Antiqua" w:cs="Arial"/>
          <w:b/>
          <w:bCs/>
          <w:color w:val="1F497D" w:themeColor="text2"/>
          <w:lang w:eastAsia="es-ES"/>
        </w:rPr>
        <w:t>Distribución de las cuotas de Trabajo</w:t>
      </w:r>
      <w:r w:rsidRPr="00410ED4">
        <w:rPr>
          <w:rFonts w:ascii="Book Antiqua" w:eastAsia="Times New Roman" w:hAnsi="Book Antiqua" w:cs="Arial"/>
          <w:b/>
          <w:bCs/>
          <w:color w:val="1F497D" w:themeColor="text2"/>
          <w:lang w:eastAsia="es-ES"/>
        </w:rPr>
        <w:t xml:space="preserve"> por Jueza o Juez de los Tribunales de Apelación Civil y Trabajo</w:t>
      </w:r>
      <w:r w:rsidR="00444AD7">
        <w:rPr>
          <w:rFonts w:ascii="Book Antiqua" w:eastAsia="Times New Roman" w:hAnsi="Book Antiqua" w:cs="Arial"/>
          <w:b/>
          <w:bCs/>
          <w:color w:val="1F497D" w:themeColor="text2"/>
          <w:lang w:eastAsia="es-ES"/>
        </w:rPr>
        <w:t xml:space="preserve"> </w:t>
      </w:r>
      <w:r w:rsidR="008F65DE">
        <w:rPr>
          <w:rFonts w:ascii="Book Antiqua" w:eastAsia="Times New Roman" w:hAnsi="Book Antiqua" w:cs="Arial"/>
          <w:b/>
          <w:bCs/>
          <w:color w:val="1F497D" w:themeColor="text2"/>
          <w:lang w:eastAsia="es-ES"/>
        </w:rPr>
        <w:t>(Mixto)</w:t>
      </w:r>
    </w:p>
    <w:p w14:paraId="70A06F3C" w14:textId="55D8550B" w:rsidR="001C50C3" w:rsidRDefault="001C50C3" w:rsidP="00E56F97">
      <w:pPr>
        <w:keepNext/>
        <w:widowControl w:val="0"/>
        <w:autoSpaceDE w:val="0"/>
        <w:autoSpaceDN w:val="0"/>
        <w:adjustRightInd w:val="0"/>
        <w:spacing w:after="0" w:line="240" w:lineRule="auto"/>
        <w:jc w:val="center"/>
        <w:rPr>
          <w:rFonts w:ascii="Book Antiqua" w:eastAsia="Times New Roman" w:hAnsi="Book Antiqua" w:cs="Arial"/>
          <w:b/>
          <w:bCs/>
          <w:color w:val="1F497D" w:themeColor="text2"/>
          <w:lang w:eastAsia="es-ES"/>
        </w:rPr>
      </w:pPr>
    </w:p>
    <w:tbl>
      <w:tblPr>
        <w:tblW w:w="5723" w:type="pct"/>
        <w:tblInd w:w="-732" w:type="dxa"/>
        <w:tblLayout w:type="fixed"/>
        <w:tblCellMar>
          <w:left w:w="70" w:type="dxa"/>
          <w:right w:w="70" w:type="dxa"/>
        </w:tblCellMar>
        <w:tblLook w:val="04A0" w:firstRow="1" w:lastRow="0" w:firstColumn="1" w:lastColumn="0" w:noHBand="0" w:noVBand="1"/>
      </w:tblPr>
      <w:tblGrid>
        <w:gridCol w:w="3366"/>
        <w:gridCol w:w="1009"/>
        <w:gridCol w:w="605"/>
        <w:gridCol w:w="988"/>
        <w:gridCol w:w="1133"/>
        <w:gridCol w:w="982"/>
        <w:gridCol w:w="990"/>
        <w:gridCol w:w="990"/>
      </w:tblGrid>
      <w:tr w:rsidR="00EB031E" w:rsidRPr="00047538" w14:paraId="30F92D04" w14:textId="77777777" w:rsidTr="00EB031E">
        <w:trPr>
          <w:trHeight w:val="1760"/>
        </w:trPr>
        <w:tc>
          <w:tcPr>
            <w:tcW w:w="1671" w:type="pct"/>
            <w:tcBorders>
              <w:top w:val="double" w:sz="6" w:space="0" w:color="44546A"/>
              <w:left w:val="double" w:sz="6" w:space="0" w:color="44546A"/>
              <w:bottom w:val="double" w:sz="6" w:space="0" w:color="44546A"/>
              <w:right w:val="double" w:sz="6" w:space="0" w:color="44546A"/>
            </w:tcBorders>
            <w:shd w:val="clear" w:color="000000" w:fill="1F4E78"/>
            <w:vAlign w:val="center"/>
            <w:hideMark/>
          </w:tcPr>
          <w:p w14:paraId="211B382C" w14:textId="77777777" w:rsidR="00047538" w:rsidRPr="00EB031E" w:rsidRDefault="00047538" w:rsidP="00047538">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Despacho</w:t>
            </w:r>
          </w:p>
        </w:tc>
        <w:tc>
          <w:tcPr>
            <w:tcW w:w="501" w:type="pct"/>
            <w:tcBorders>
              <w:top w:val="double" w:sz="6" w:space="0" w:color="44546A"/>
              <w:left w:val="nil"/>
              <w:bottom w:val="double" w:sz="6" w:space="0" w:color="44546A"/>
              <w:right w:val="double" w:sz="6" w:space="0" w:color="44546A"/>
            </w:tcBorders>
            <w:shd w:val="clear" w:color="000000" w:fill="1F4E78"/>
            <w:vAlign w:val="center"/>
            <w:hideMark/>
          </w:tcPr>
          <w:p w14:paraId="2C46B31F" w14:textId="77777777" w:rsidR="00047538" w:rsidRPr="00EB031E" w:rsidRDefault="00047538" w:rsidP="00047538">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Materia</w:t>
            </w:r>
          </w:p>
        </w:tc>
        <w:tc>
          <w:tcPr>
            <w:tcW w:w="300" w:type="pct"/>
            <w:tcBorders>
              <w:top w:val="double" w:sz="6" w:space="0" w:color="44546A"/>
              <w:left w:val="nil"/>
              <w:bottom w:val="double" w:sz="6" w:space="0" w:color="44546A"/>
              <w:right w:val="double" w:sz="6" w:space="0" w:color="44546A"/>
            </w:tcBorders>
            <w:shd w:val="clear" w:color="000000" w:fill="1F4E78"/>
            <w:vAlign w:val="center"/>
            <w:hideMark/>
          </w:tcPr>
          <w:p w14:paraId="2F527C83" w14:textId="77777777" w:rsidR="00047538" w:rsidRPr="00EB031E" w:rsidRDefault="00047538" w:rsidP="00047538">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Total</w:t>
            </w:r>
          </w:p>
        </w:tc>
        <w:tc>
          <w:tcPr>
            <w:tcW w:w="491" w:type="pct"/>
            <w:tcBorders>
              <w:top w:val="double" w:sz="6" w:space="0" w:color="44546A"/>
              <w:left w:val="nil"/>
              <w:bottom w:val="double" w:sz="6" w:space="0" w:color="44546A"/>
              <w:right w:val="double" w:sz="6" w:space="0" w:color="44546A"/>
            </w:tcBorders>
            <w:shd w:val="clear" w:color="000000" w:fill="1F4E78"/>
            <w:vAlign w:val="center"/>
            <w:hideMark/>
          </w:tcPr>
          <w:p w14:paraId="0A7F75AD" w14:textId="77777777" w:rsidR="00047538" w:rsidRPr="00EB031E" w:rsidRDefault="00047538" w:rsidP="00047538">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Cantidad mensual por materia</w:t>
            </w:r>
          </w:p>
        </w:tc>
        <w:tc>
          <w:tcPr>
            <w:tcW w:w="563" w:type="pct"/>
            <w:tcBorders>
              <w:top w:val="double" w:sz="6" w:space="0" w:color="44546A"/>
              <w:left w:val="nil"/>
              <w:bottom w:val="double" w:sz="6" w:space="0" w:color="44546A"/>
              <w:right w:val="double" w:sz="6" w:space="0" w:color="44546A"/>
            </w:tcBorders>
            <w:shd w:val="clear" w:color="000000" w:fill="1F4E78"/>
            <w:vAlign w:val="center"/>
            <w:hideMark/>
          </w:tcPr>
          <w:p w14:paraId="56D21748" w14:textId="77777777" w:rsidR="00047538" w:rsidRPr="00EB031E" w:rsidRDefault="00047538" w:rsidP="00047538">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 xml:space="preserve">Porcentaje por materia </w:t>
            </w:r>
          </w:p>
        </w:tc>
        <w:tc>
          <w:tcPr>
            <w:tcW w:w="488" w:type="pct"/>
            <w:tcBorders>
              <w:top w:val="double" w:sz="6" w:space="0" w:color="44546A"/>
              <w:left w:val="nil"/>
              <w:bottom w:val="double" w:sz="6" w:space="0" w:color="44546A"/>
              <w:right w:val="double" w:sz="6" w:space="0" w:color="44546A"/>
            </w:tcBorders>
            <w:shd w:val="clear" w:color="000000" w:fill="1F4E78"/>
            <w:vAlign w:val="center"/>
            <w:hideMark/>
          </w:tcPr>
          <w:p w14:paraId="54D41027" w14:textId="77777777" w:rsidR="00047538" w:rsidRPr="00EB031E" w:rsidRDefault="00047538" w:rsidP="00047538">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 xml:space="preserve">Cantidad de jueces </w:t>
            </w:r>
          </w:p>
        </w:tc>
        <w:tc>
          <w:tcPr>
            <w:tcW w:w="492" w:type="pct"/>
            <w:tcBorders>
              <w:top w:val="double" w:sz="6" w:space="0" w:color="44546A"/>
              <w:left w:val="nil"/>
              <w:bottom w:val="double" w:sz="6" w:space="0" w:color="44546A"/>
              <w:right w:val="double" w:sz="6" w:space="0" w:color="44546A"/>
            </w:tcBorders>
            <w:shd w:val="clear" w:color="000000" w:fill="1F4E78"/>
            <w:vAlign w:val="center"/>
            <w:hideMark/>
          </w:tcPr>
          <w:p w14:paraId="667C90B1" w14:textId="4737E75F" w:rsidR="00047538" w:rsidRPr="00EB031E" w:rsidRDefault="00047538" w:rsidP="00047538">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 xml:space="preserve">Carga de trabajo </w:t>
            </w:r>
            <w:r w:rsidRPr="00463182">
              <w:rPr>
                <w:rFonts w:ascii="Book Antiqua" w:eastAsia="Times New Roman" w:hAnsi="Book Antiqua" w:cs="Calibri"/>
                <w:b/>
                <w:bCs/>
                <w:color w:val="FFFFFF"/>
                <w:sz w:val="18"/>
                <w:szCs w:val="18"/>
                <w:lang w:eastAsia="es-CR"/>
              </w:rPr>
              <w:t>promedio mensual</w:t>
            </w:r>
            <w:r w:rsidRPr="00EB031E">
              <w:rPr>
                <w:rFonts w:ascii="Book Antiqua" w:eastAsia="Times New Roman" w:hAnsi="Book Antiqua" w:cs="Calibri"/>
                <w:b/>
                <w:bCs/>
                <w:color w:val="FFFFFF"/>
                <w:sz w:val="18"/>
                <w:szCs w:val="18"/>
                <w:lang w:eastAsia="es-CR"/>
              </w:rPr>
              <w:t xml:space="preserve"> por materia por Juez </w:t>
            </w:r>
          </w:p>
        </w:tc>
        <w:tc>
          <w:tcPr>
            <w:tcW w:w="492" w:type="pct"/>
            <w:tcBorders>
              <w:top w:val="double" w:sz="6" w:space="0" w:color="44546A"/>
              <w:left w:val="nil"/>
              <w:bottom w:val="double" w:sz="6" w:space="0" w:color="44546A"/>
              <w:right w:val="double" w:sz="6" w:space="0" w:color="44546A"/>
            </w:tcBorders>
            <w:shd w:val="clear" w:color="000000" w:fill="1F4E78"/>
            <w:vAlign w:val="center"/>
            <w:hideMark/>
          </w:tcPr>
          <w:p w14:paraId="53C7BF0D" w14:textId="77777777" w:rsidR="00047538" w:rsidRPr="00EB031E" w:rsidRDefault="00047538" w:rsidP="00047538">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 xml:space="preserve">Propuesta Cuota de trabajo por materia  </w:t>
            </w:r>
          </w:p>
        </w:tc>
      </w:tr>
      <w:tr w:rsidR="00952403" w:rsidRPr="00047538" w14:paraId="16A7BD32" w14:textId="77777777" w:rsidTr="00047538">
        <w:trPr>
          <w:trHeight w:val="330"/>
        </w:trPr>
        <w:tc>
          <w:tcPr>
            <w:tcW w:w="1671" w:type="pct"/>
            <w:vMerge w:val="restart"/>
            <w:tcBorders>
              <w:top w:val="nil"/>
              <w:left w:val="double" w:sz="6" w:space="0" w:color="44546A"/>
              <w:bottom w:val="double" w:sz="6" w:space="0" w:color="44546A"/>
              <w:right w:val="double" w:sz="6" w:space="0" w:color="44546A"/>
            </w:tcBorders>
            <w:shd w:val="clear" w:color="000000" w:fill="D9E1F2"/>
            <w:noWrap/>
            <w:vAlign w:val="center"/>
            <w:hideMark/>
          </w:tcPr>
          <w:p w14:paraId="6240BD61" w14:textId="77777777" w:rsidR="00047538" w:rsidRPr="00EB031E" w:rsidRDefault="00047538" w:rsidP="00047538">
            <w:pPr>
              <w:spacing w:after="0" w:line="240" w:lineRule="auto"/>
              <w:rPr>
                <w:rFonts w:ascii="Book Antiqua" w:eastAsia="Times New Roman" w:hAnsi="Book Antiqua" w:cs="Calibri"/>
                <w:sz w:val="18"/>
                <w:szCs w:val="18"/>
                <w:lang w:eastAsia="es-CR"/>
              </w:rPr>
            </w:pPr>
            <w:r w:rsidRPr="00EB031E">
              <w:rPr>
                <w:rFonts w:ascii="Book Antiqua" w:eastAsia="Times New Roman" w:hAnsi="Book Antiqua" w:cs="Calibri"/>
                <w:sz w:val="18"/>
                <w:szCs w:val="18"/>
                <w:lang w:eastAsia="es-CR"/>
              </w:rPr>
              <w:t xml:space="preserve">Tribunal Primer Circuito Judicial Zona Sur </w:t>
            </w:r>
          </w:p>
        </w:tc>
        <w:tc>
          <w:tcPr>
            <w:tcW w:w="501" w:type="pct"/>
            <w:tcBorders>
              <w:top w:val="nil"/>
              <w:left w:val="nil"/>
              <w:bottom w:val="double" w:sz="6" w:space="0" w:color="44546A"/>
              <w:right w:val="double" w:sz="6" w:space="0" w:color="44546A"/>
            </w:tcBorders>
            <w:shd w:val="clear" w:color="000000" w:fill="D9E1F2"/>
            <w:vAlign w:val="center"/>
            <w:hideMark/>
          </w:tcPr>
          <w:p w14:paraId="68AE24A7" w14:textId="77777777" w:rsidR="00047538" w:rsidRPr="00EB031E" w:rsidRDefault="00047538" w:rsidP="00047538">
            <w:pPr>
              <w:spacing w:after="0" w:line="240" w:lineRule="auto"/>
              <w:jc w:val="right"/>
              <w:rPr>
                <w:rFonts w:ascii="Book Antiqua" w:eastAsia="Times New Roman" w:hAnsi="Book Antiqua" w:cs="Calibri"/>
                <w:b/>
                <w:bCs/>
                <w:i/>
                <w:iCs/>
                <w:color w:val="000000"/>
                <w:sz w:val="18"/>
                <w:szCs w:val="18"/>
                <w:lang w:eastAsia="es-CR"/>
              </w:rPr>
            </w:pPr>
            <w:r w:rsidRPr="00EB031E">
              <w:rPr>
                <w:rFonts w:ascii="Book Antiqua" w:eastAsia="Times New Roman" w:hAnsi="Book Antiqua" w:cs="Calibri"/>
                <w:b/>
                <w:bCs/>
                <w:i/>
                <w:iCs/>
                <w:color w:val="000000"/>
                <w:sz w:val="18"/>
                <w:szCs w:val="18"/>
                <w:lang w:eastAsia="es-CR"/>
              </w:rPr>
              <w:t>Civil</w:t>
            </w:r>
          </w:p>
        </w:tc>
        <w:tc>
          <w:tcPr>
            <w:tcW w:w="300" w:type="pct"/>
            <w:vMerge w:val="restart"/>
            <w:tcBorders>
              <w:top w:val="nil"/>
              <w:left w:val="double" w:sz="6" w:space="0" w:color="44546A"/>
              <w:bottom w:val="double" w:sz="6" w:space="0" w:color="44546A"/>
              <w:right w:val="double" w:sz="6" w:space="0" w:color="44546A"/>
            </w:tcBorders>
            <w:shd w:val="clear" w:color="000000" w:fill="D9E1F2"/>
            <w:vAlign w:val="center"/>
            <w:hideMark/>
          </w:tcPr>
          <w:p w14:paraId="7BC10284" w14:textId="77777777" w:rsidR="00047538" w:rsidRPr="00EB031E" w:rsidRDefault="00047538" w:rsidP="00047538">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53</w:t>
            </w:r>
          </w:p>
        </w:tc>
        <w:tc>
          <w:tcPr>
            <w:tcW w:w="491" w:type="pct"/>
            <w:tcBorders>
              <w:top w:val="nil"/>
              <w:left w:val="nil"/>
              <w:bottom w:val="double" w:sz="6" w:space="0" w:color="44546A"/>
              <w:right w:val="double" w:sz="6" w:space="0" w:color="44546A"/>
            </w:tcBorders>
            <w:shd w:val="clear" w:color="000000" w:fill="D9E1F2"/>
            <w:vAlign w:val="center"/>
            <w:hideMark/>
          </w:tcPr>
          <w:p w14:paraId="368A78B7"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35</w:t>
            </w:r>
          </w:p>
        </w:tc>
        <w:tc>
          <w:tcPr>
            <w:tcW w:w="563" w:type="pct"/>
            <w:tcBorders>
              <w:top w:val="nil"/>
              <w:left w:val="nil"/>
              <w:bottom w:val="double" w:sz="6" w:space="0" w:color="44546A"/>
              <w:right w:val="double" w:sz="6" w:space="0" w:color="44546A"/>
            </w:tcBorders>
            <w:shd w:val="clear" w:color="000000" w:fill="D9E1F2"/>
            <w:vAlign w:val="center"/>
            <w:hideMark/>
          </w:tcPr>
          <w:p w14:paraId="7945DA92"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67%</w:t>
            </w:r>
          </w:p>
        </w:tc>
        <w:tc>
          <w:tcPr>
            <w:tcW w:w="488" w:type="pct"/>
            <w:vMerge w:val="restart"/>
            <w:tcBorders>
              <w:top w:val="nil"/>
              <w:left w:val="double" w:sz="6" w:space="0" w:color="44546A"/>
              <w:bottom w:val="double" w:sz="6" w:space="0" w:color="44546A"/>
              <w:right w:val="double" w:sz="6" w:space="0" w:color="44546A"/>
            </w:tcBorders>
            <w:shd w:val="clear" w:color="000000" w:fill="D9E1F2"/>
            <w:vAlign w:val="center"/>
            <w:hideMark/>
          </w:tcPr>
          <w:p w14:paraId="07DF07EE"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w:t>
            </w:r>
          </w:p>
        </w:tc>
        <w:tc>
          <w:tcPr>
            <w:tcW w:w="492" w:type="pct"/>
            <w:tcBorders>
              <w:top w:val="nil"/>
              <w:left w:val="nil"/>
              <w:bottom w:val="double" w:sz="6" w:space="0" w:color="44546A"/>
              <w:right w:val="double" w:sz="6" w:space="0" w:color="44546A"/>
            </w:tcBorders>
            <w:shd w:val="clear" w:color="000000" w:fill="D9E1F2"/>
            <w:vAlign w:val="center"/>
            <w:hideMark/>
          </w:tcPr>
          <w:p w14:paraId="123FF6BA"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12</w:t>
            </w:r>
          </w:p>
        </w:tc>
        <w:tc>
          <w:tcPr>
            <w:tcW w:w="492" w:type="pct"/>
            <w:tcBorders>
              <w:top w:val="nil"/>
              <w:left w:val="nil"/>
              <w:bottom w:val="double" w:sz="6" w:space="0" w:color="44546A"/>
              <w:right w:val="double" w:sz="6" w:space="0" w:color="44546A"/>
            </w:tcBorders>
            <w:shd w:val="clear" w:color="000000" w:fill="D9E1F2"/>
            <w:vAlign w:val="center"/>
            <w:hideMark/>
          </w:tcPr>
          <w:p w14:paraId="3AE8F910" w14:textId="77777777" w:rsidR="00047538" w:rsidRPr="00EB031E" w:rsidRDefault="00047538" w:rsidP="00047538">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11</w:t>
            </w:r>
          </w:p>
        </w:tc>
      </w:tr>
      <w:tr w:rsidR="00EB031E" w:rsidRPr="00047538" w14:paraId="3F3397C9" w14:textId="77777777" w:rsidTr="00EB031E">
        <w:trPr>
          <w:trHeight w:val="330"/>
        </w:trPr>
        <w:tc>
          <w:tcPr>
            <w:tcW w:w="1671" w:type="pct"/>
            <w:vMerge/>
            <w:tcBorders>
              <w:top w:val="nil"/>
              <w:left w:val="double" w:sz="6" w:space="0" w:color="44546A"/>
              <w:bottom w:val="double" w:sz="6" w:space="0" w:color="44546A"/>
              <w:right w:val="double" w:sz="6" w:space="0" w:color="44546A"/>
            </w:tcBorders>
            <w:vAlign w:val="center"/>
            <w:hideMark/>
          </w:tcPr>
          <w:p w14:paraId="3C11ED99" w14:textId="77777777" w:rsidR="00047538" w:rsidRPr="00EB031E" w:rsidRDefault="00047538" w:rsidP="00047538">
            <w:pPr>
              <w:spacing w:after="0" w:line="240" w:lineRule="auto"/>
              <w:rPr>
                <w:rFonts w:ascii="Book Antiqua" w:eastAsia="Times New Roman" w:hAnsi="Book Antiqua" w:cs="Calibri"/>
                <w:sz w:val="18"/>
                <w:szCs w:val="18"/>
                <w:lang w:eastAsia="es-CR"/>
              </w:rPr>
            </w:pPr>
          </w:p>
        </w:tc>
        <w:tc>
          <w:tcPr>
            <w:tcW w:w="501" w:type="pct"/>
            <w:tcBorders>
              <w:top w:val="nil"/>
              <w:left w:val="nil"/>
              <w:bottom w:val="double" w:sz="6" w:space="0" w:color="44546A"/>
              <w:right w:val="double" w:sz="6" w:space="0" w:color="44546A"/>
            </w:tcBorders>
            <w:shd w:val="clear" w:color="000000" w:fill="D9E1F2"/>
            <w:vAlign w:val="center"/>
            <w:hideMark/>
          </w:tcPr>
          <w:p w14:paraId="16D4D689" w14:textId="77777777" w:rsidR="00047538" w:rsidRPr="00EB031E" w:rsidRDefault="00047538" w:rsidP="00047538">
            <w:pPr>
              <w:spacing w:after="0" w:line="240" w:lineRule="auto"/>
              <w:jc w:val="right"/>
              <w:rPr>
                <w:rFonts w:ascii="Book Antiqua" w:eastAsia="Times New Roman" w:hAnsi="Book Antiqua" w:cs="Calibri"/>
                <w:b/>
                <w:bCs/>
                <w:i/>
                <w:iCs/>
                <w:color w:val="000000"/>
                <w:sz w:val="18"/>
                <w:szCs w:val="18"/>
                <w:lang w:eastAsia="es-CR"/>
              </w:rPr>
            </w:pPr>
            <w:r w:rsidRPr="00EB031E">
              <w:rPr>
                <w:rFonts w:ascii="Book Antiqua" w:eastAsia="Times New Roman" w:hAnsi="Book Antiqua" w:cs="Calibri"/>
                <w:b/>
                <w:bCs/>
                <w:i/>
                <w:iCs/>
                <w:color w:val="000000"/>
                <w:sz w:val="18"/>
                <w:szCs w:val="18"/>
                <w:lang w:eastAsia="es-CR"/>
              </w:rPr>
              <w:t>Trabajo</w:t>
            </w:r>
          </w:p>
        </w:tc>
        <w:tc>
          <w:tcPr>
            <w:tcW w:w="300" w:type="pct"/>
            <w:vMerge/>
            <w:tcBorders>
              <w:top w:val="nil"/>
              <w:left w:val="double" w:sz="6" w:space="0" w:color="44546A"/>
              <w:bottom w:val="double" w:sz="6" w:space="0" w:color="44546A"/>
              <w:right w:val="double" w:sz="6" w:space="0" w:color="44546A"/>
            </w:tcBorders>
            <w:vAlign w:val="center"/>
            <w:hideMark/>
          </w:tcPr>
          <w:p w14:paraId="7E36F1F9" w14:textId="77777777" w:rsidR="00047538" w:rsidRPr="00EB031E" w:rsidRDefault="00047538" w:rsidP="00047538">
            <w:pPr>
              <w:spacing w:after="0" w:line="240" w:lineRule="auto"/>
              <w:rPr>
                <w:rFonts w:ascii="Book Antiqua" w:eastAsia="Times New Roman" w:hAnsi="Book Antiqua" w:cs="Calibri"/>
                <w:b/>
                <w:bCs/>
                <w:color w:val="000000"/>
                <w:sz w:val="18"/>
                <w:szCs w:val="18"/>
                <w:lang w:eastAsia="es-CR"/>
              </w:rPr>
            </w:pPr>
          </w:p>
        </w:tc>
        <w:tc>
          <w:tcPr>
            <w:tcW w:w="491" w:type="pct"/>
            <w:tcBorders>
              <w:top w:val="nil"/>
              <w:left w:val="nil"/>
              <w:bottom w:val="double" w:sz="6" w:space="0" w:color="44546A"/>
              <w:right w:val="double" w:sz="6" w:space="0" w:color="44546A"/>
            </w:tcBorders>
            <w:shd w:val="clear" w:color="000000" w:fill="D9E1F2"/>
            <w:vAlign w:val="center"/>
            <w:hideMark/>
          </w:tcPr>
          <w:p w14:paraId="1CEDE41B"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17</w:t>
            </w:r>
          </w:p>
        </w:tc>
        <w:tc>
          <w:tcPr>
            <w:tcW w:w="563" w:type="pct"/>
            <w:tcBorders>
              <w:top w:val="nil"/>
              <w:left w:val="nil"/>
              <w:bottom w:val="double" w:sz="6" w:space="0" w:color="44546A"/>
              <w:right w:val="double" w:sz="6" w:space="0" w:color="44546A"/>
            </w:tcBorders>
            <w:shd w:val="clear" w:color="000000" w:fill="D9E1F2"/>
            <w:vAlign w:val="center"/>
            <w:hideMark/>
          </w:tcPr>
          <w:p w14:paraId="6D54A304"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33%</w:t>
            </w:r>
          </w:p>
        </w:tc>
        <w:tc>
          <w:tcPr>
            <w:tcW w:w="488" w:type="pct"/>
            <w:vMerge/>
            <w:tcBorders>
              <w:top w:val="nil"/>
              <w:left w:val="double" w:sz="6" w:space="0" w:color="44546A"/>
              <w:bottom w:val="double" w:sz="6" w:space="0" w:color="44546A"/>
              <w:right w:val="double" w:sz="6" w:space="0" w:color="44546A"/>
            </w:tcBorders>
            <w:vAlign w:val="center"/>
            <w:hideMark/>
          </w:tcPr>
          <w:p w14:paraId="62FECE08" w14:textId="77777777" w:rsidR="00047538" w:rsidRPr="00EB031E" w:rsidRDefault="00047538" w:rsidP="00047538">
            <w:pPr>
              <w:spacing w:after="0" w:line="240" w:lineRule="auto"/>
              <w:rPr>
                <w:rFonts w:ascii="Book Antiqua" w:eastAsia="Times New Roman" w:hAnsi="Book Antiqua" w:cs="Calibri"/>
                <w:color w:val="000000"/>
                <w:sz w:val="18"/>
                <w:szCs w:val="18"/>
                <w:lang w:eastAsia="es-CR"/>
              </w:rPr>
            </w:pPr>
          </w:p>
        </w:tc>
        <w:tc>
          <w:tcPr>
            <w:tcW w:w="492" w:type="pct"/>
            <w:tcBorders>
              <w:top w:val="nil"/>
              <w:left w:val="nil"/>
              <w:bottom w:val="double" w:sz="6" w:space="0" w:color="44546A"/>
              <w:right w:val="double" w:sz="6" w:space="0" w:color="44546A"/>
            </w:tcBorders>
            <w:shd w:val="clear" w:color="000000" w:fill="D9E1F2"/>
            <w:vAlign w:val="center"/>
            <w:hideMark/>
          </w:tcPr>
          <w:p w14:paraId="6432F33A"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w:t>
            </w:r>
          </w:p>
        </w:tc>
        <w:tc>
          <w:tcPr>
            <w:tcW w:w="492" w:type="pct"/>
            <w:tcBorders>
              <w:top w:val="nil"/>
              <w:left w:val="nil"/>
              <w:bottom w:val="double" w:sz="6" w:space="0" w:color="44546A"/>
              <w:right w:val="double" w:sz="6" w:space="0" w:color="44546A"/>
            </w:tcBorders>
            <w:shd w:val="clear" w:color="000000" w:fill="D9E1F2"/>
            <w:vAlign w:val="center"/>
            <w:hideMark/>
          </w:tcPr>
          <w:p w14:paraId="11A9EE9C" w14:textId="77777777" w:rsidR="00047538" w:rsidRPr="00EB031E" w:rsidRDefault="00047538" w:rsidP="00047538">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6</w:t>
            </w:r>
          </w:p>
        </w:tc>
      </w:tr>
      <w:tr w:rsidR="00EB031E" w:rsidRPr="00047538" w14:paraId="24B4B7D5" w14:textId="77777777" w:rsidTr="00EB031E">
        <w:trPr>
          <w:trHeight w:val="330"/>
        </w:trPr>
        <w:tc>
          <w:tcPr>
            <w:tcW w:w="1671" w:type="pct"/>
            <w:vMerge w:val="restart"/>
            <w:tcBorders>
              <w:top w:val="nil"/>
              <w:left w:val="double" w:sz="6" w:space="0" w:color="44546A"/>
              <w:bottom w:val="double" w:sz="6" w:space="0" w:color="44546A"/>
              <w:right w:val="double" w:sz="6" w:space="0" w:color="44546A"/>
            </w:tcBorders>
            <w:shd w:val="clear" w:color="auto" w:fill="auto"/>
            <w:noWrap/>
            <w:vAlign w:val="center"/>
            <w:hideMark/>
          </w:tcPr>
          <w:p w14:paraId="3952CDF1" w14:textId="77777777" w:rsidR="00047538" w:rsidRPr="00EB031E" w:rsidRDefault="00047538" w:rsidP="00047538">
            <w:pPr>
              <w:spacing w:after="0" w:line="240" w:lineRule="auto"/>
              <w:rPr>
                <w:rFonts w:ascii="Book Antiqua" w:eastAsia="Times New Roman" w:hAnsi="Book Antiqua" w:cs="Calibri"/>
                <w:sz w:val="18"/>
                <w:szCs w:val="18"/>
                <w:lang w:eastAsia="es-CR"/>
              </w:rPr>
            </w:pPr>
            <w:r w:rsidRPr="00EB031E">
              <w:rPr>
                <w:rFonts w:ascii="Book Antiqua" w:eastAsia="Times New Roman" w:hAnsi="Book Antiqua" w:cs="Calibri"/>
                <w:sz w:val="18"/>
                <w:szCs w:val="18"/>
                <w:lang w:eastAsia="es-CR"/>
              </w:rPr>
              <w:t xml:space="preserve">Tribunal de Primer Circuito Judicial de Alajuela </w:t>
            </w:r>
          </w:p>
        </w:tc>
        <w:tc>
          <w:tcPr>
            <w:tcW w:w="501" w:type="pct"/>
            <w:tcBorders>
              <w:top w:val="nil"/>
              <w:left w:val="nil"/>
              <w:bottom w:val="double" w:sz="6" w:space="0" w:color="44546A"/>
              <w:right w:val="double" w:sz="6" w:space="0" w:color="44546A"/>
            </w:tcBorders>
            <w:shd w:val="clear" w:color="auto" w:fill="auto"/>
            <w:vAlign w:val="center"/>
            <w:hideMark/>
          </w:tcPr>
          <w:p w14:paraId="38B35AD0" w14:textId="77777777" w:rsidR="00047538" w:rsidRPr="00EB031E" w:rsidRDefault="00047538" w:rsidP="00047538">
            <w:pPr>
              <w:spacing w:after="0" w:line="240" w:lineRule="auto"/>
              <w:jc w:val="right"/>
              <w:rPr>
                <w:rFonts w:ascii="Book Antiqua" w:eastAsia="Times New Roman" w:hAnsi="Book Antiqua" w:cs="Calibri"/>
                <w:b/>
                <w:bCs/>
                <w:i/>
                <w:iCs/>
                <w:color w:val="000000"/>
                <w:sz w:val="18"/>
                <w:szCs w:val="18"/>
                <w:lang w:eastAsia="es-CR"/>
              </w:rPr>
            </w:pPr>
            <w:r w:rsidRPr="00EB031E">
              <w:rPr>
                <w:rFonts w:ascii="Book Antiqua" w:eastAsia="Times New Roman" w:hAnsi="Book Antiqua" w:cs="Calibri"/>
                <w:b/>
                <w:bCs/>
                <w:i/>
                <w:iCs/>
                <w:color w:val="000000"/>
                <w:sz w:val="18"/>
                <w:szCs w:val="18"/>
                <w:lang w:eastAsia="es-CR"/>
              </w:rPr>
              <w:t>Civil</w:t>
            </w:r>
          </w:p>
        </w:tc>
        <w:tc>
          <w:tcPr>
            <w:tcW w:w="300" w:type="pct"/>
            <w:vMerge w:val="restart"/>
            <w:tcBorders>
              <w:top w:val="nil"/>
              <w:left w:val="double" w:sz="6" w:space="0" w:color="44546A"/>
              <w:bottom w:val="double" w:sz="6" w:space="0" w:color="44546A"/>
              <w:right w:val="double" w:sz="6" w:space="0" w:color="44546A"/>
            </w:tcBorders>
            <w:shd w:val="clear" w:color="auto" w:fill="auto"/>
            <w:vAlign w:val="center"/>
            <w:hideMark/>
          </w:tcPr>
          <w:p w14:paraId="53AFA33F" w14:textId="77777777" w:rsidR="00047538" w:rsidRPr="00EB031E" w:rsidRDefault="00047538" w:rsidP="00047538">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145</w:t>
            </w:r>
          </w:p>
        </w:tc>
        <w:tc>
          <w:tcPr>
            <w:tcW w:w="491" w:type="pct"/>
            <w:tcBorders>
              <w:top w:val="nil"/>
              <w:left w:val="nil"/>
              <w:bottom w:val="double" w:sz="6" w:space="0" w:color="44546A"/>
              <w:right w:val="double" w:sz="6" w:space="0" w:color="44546A"/>
            </w:tcBorders>
            <w:shd w:val="clear" w:color="auto" w:fill="auto"/>
            <w:vAlign w:val="center"/>
            <w:hideMark/>
          </w:tcPr>
          <w:p w14:paraId="14167EE2"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94</w:t>
            </w:r>
          </w:p>
        </w:tc>
        <w:tc>
          <w:tcPr>
            <w:tcW w:w="563" w:type="pct"/>
            <w:tcBorders>
              <w:top w:val="nil"/>
              <w:left w:val="nil"/>
              <w:bottom w:val="double" w:sz="6" w:space="0" w:color="44546A"/>
              <w:right w:val="double" w:sz="6" w:space="0" w:color="44546A"/>
            </w:tcBorders>
            <w:shd w:val="clear" w:color="auto" w:fill="auto"/>
            <w:vAlign w:val="center"/>
            <w:hideMark/>
          </w:tcPr>
          <w:p w14:paraId="3E0E5328"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65%</w:t>
            </w:r>
          </w:p>
        </w:tc>
        <w:tc>
          <w:tcPr>
            <w:tcW w:w="488" w:type="pct"/>
            <w:vMerge w:val="restart"/>
            <w:tcBorders>
              <w:top w:val="nil"/>
              <w:left w:val="double" w:sz="6" w:space="0" w:color="44546A"/>
              <w:bottom w:val="double" w:sz="6" w:space="0" w:color="44546A"/>
              <w:right w:val="double" w:sz="6" w:space="0" w:color="44546A"/>
            </w:tcBorders>
            <w:shd w:val="clear" w:color="auto" w:fill="auto"/>
            <w:vAlign w:val="center"/>
            <w:hideMark/>
          </w:tcPr>
          <w:p w14:paraId="46990211"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w:t>
            </w:r>
          </w:p>
        </w:tc>
        <w:tc>
          <w:tcPr>
            <w:tcW w:w="492" w:type="pct"/>
            <w:tcBorders>
              <w:top w:val="nil"/>
              <w:left w:val="nil"/>
              <w:bottom w:val="double" w:sz="6" w:space="0" w:color="44546A"/>
              <w:right w:val="double" w:sz="6" w:space="0" w:color="44546A"/>
            </w:tcBorders>
            <w:shd w:val="clear" w:color="auto" w:fill="auto"/>
            <w:vAlign w:val="center"/>
            <w:hideMark/>
          </w:tcPr>
          <w:p w14:paraId="76F12C86"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16</w:t>
            </w:r>
          </w:p>
        </w:tc>
        <w:tc>
          <w:tcPr>
            <w:tcW w:w="492" w:type="pct"/>
            <w:tcBorders>
              <w:top w:val="nil"/>
              <w:left w:val="nil"/>
              <w:bottom w:val="double" w:sz="6" w:space="0" w:color="44546A"/>
              <w:right w:val="double" w:sz="6" w:space="0" w:color="44546A"/>
            </w:tcBorders>
            <w:shd w:val="clear" w:color="auto" w:fill="auto"/>
            <w:vAlign w:val="center"/>
            <w:hideMark/>
          </w:tcPr>
          <w:p w14:paraId="1D461588" w14:textId="77777777" w:rsidR="00047538" w:rsidRPr="00EB031E" w:rsidRDefault="00047538" w:rsidP="00047538">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11</w:t>
            </w:r>
          </w:p>
        </w:tc>
      </w:tr>
      <w:tr w:rsidR="00EB031E" w:rsidRPr="00047538" w14:paraId="16E21864" w14:textId="77777777" w:rsidTr="00EB031E">
        <w:trPr>
          <w:trHeight w:val="330"/>
        </w:trPr>
        <w:tc>
          <w:tcPr>
            <w:tcW w:w="1671" w:type="pct"/>
            <w:vMerge/>
            <w:tcBorders>
              <w:top w:val="nil"/>
              <w:left w:val="double" w:sz="6" w:space="0" w:color="44546A"/>
              <w:bottom w:val="double" w:sz="6" w:space="0" w:color="44546A"/>
              <w:right w:val="double" w:sz="6" w:space="0" w:color="44546A"/>
            </w:tcBorders>
            <w:shd w:val="clear" w:color="auto" w:fill="auto"/>
            <w:vAlign w:val="center"/>
            <w:hideMark/>
          </w:tcPr>
          <w:p w14:paraId="43FD2D69" w14:textId="77777777" w:rsidR="00047538" w:rsidRPr="00EB031E" w:rsidRDefault="00047538" w:rsidP="00047538">
            <w:pPr>
              <w:spacing w:after="0" w:line="240" w:lineRule="auto"/>
              <w:rPr>
                <w:rFonts w:ascii="Book Antiqua" w:eastAsia="Times New Roman" w:hAnsi="Book Antiqua" w:cs="Calibri"/>
                <w:sz w:val="18"/>
                <w:szCs w:val="18"/>
                <w:lang w:eastAsia="es-CR"/>
              </w:rPr>
            </w:pPr>
          </w:p>
        </w:tc>
        <w:tc>
          <w:tcPr>
            <w:tcW w:w="501" w:type="pct"/>
            <w:tcBorders>
              <w:top w:val="nil"/>
              <w:left w:val="nil"/>
              <w:bottom w:val="double" w:sz="6" w:space="0" w:color="44546A"/>
              <w:right w:val="double" w:sz="6" w:space="0" w:color="44546A"/>
            </w:tcBorders>
            <w:shd w:val="clear" w:color="auto" w:fill="auto"/>
            <w:vAlign w:val="center"/>
            <w:hideMark/>
          </w:tcPr>
          <w:p w14:paraId="62C3F679" w14:textId="77777777" w:rsidR="00047538" w:rsidRPr="00EB031E" w:rsidRDefault="00047538" w:rsidP="00047538">
            <w:pPr>
              <w:spacing w:after="0" w:line="240" w:lineRule="auto"/>
              <w:jc w:val="right"/>
              <w:rPr>
                <w:rFonts w:ascii="Book Antiqua" w:eastAsia="Times New Roman" w:hAnsi="Book Antiqua" w:cs="Calibri"/>
                <w:b/>
                <w:bCs/>
                <w:i/>
                <w:iCs/>
                <w:color w:val="000000"/>
                <w:sz w:val="18"/>
                <w:szCs w:val="18"/>
                <w:lang w:eastAsia="es-CR"/>
              </w:rPr>
            </w:pPr>
            <w:r w:rsidRPr="00EB031E">
              <w:rPr>
                <w:rFonts w:ascii="Book Antiqua" w:eastAsia="Times New Roman" w:hAnsi="Book Antiqua" w:cs="Calibri"/>
                <w:b/>
                <w:bCs/>
                <w:i/>
                <w:iCs/>
                <w:color w:val="000000"/>
                <w:sz w:val="18"/>
                <w:szCs w:val="18"/>
                <w:lang w:eastAsia="es-CR"/>
              </w:rPr>
              <w:t>Trabajo</w:t>
            </w:r>
          </w:p>
        </w:tc>
        <w:tc>
          <w:tcPr>
            <w:tcW w:w="300" w:type="pct"/>
            <w:vMerge/>
            <w:tcBorders>
              <w:top w:val="nil"/>
              <w:left w:val="double" w:sz="6" w:space="0" w:color="44546A"/>
              <w:bottom w:val="double" w:sz="6" w:space="0" w:color="44546A"/>
              <w:right w:val="double" w:sz="6" w:space="0" w:color="44546A"/>
            </w:tcBorders>
            <w:shd w:val="clear" w:color="auto" w:fill="auto"/>
            <w:vAlign w:val="center"/>
            <w:hideMark/>
          </w:tcPr>
          <w:p w14:paraId="12D37E4A" w14:textId="77777777" w:rsidR="00047538" w:rsidRPr="00EB031E" w:rsidRDefault="00047538" w:rsidP="00047538">
            <w:pPr>
              <w:spacing w:after="0" w:line="240" w:lineRule="auto"/>
              <w:rPr>
                <w:rFonts w:ascii="Book Antiqua" w:eastAsia="Times New Roman" w:hAnsi="Book Antiqua" w:cs="Calibri"/>
                <w:b/>
                <w:bCs/>
                <w:color w:val="000000"/>
                <w:sz w:val="18"/>
                <w:szCs w:val="18"/>
                <w:lang w:eastAsia="es-CR"/>
              </w:rPr>
            </w:pPr>
          </w:p>
        </w:tc>
        <w:tc>
          <w:tcPr>
            <w:tcW w:w="491" w:type="pct"/>
            <w:tcBorders>
              <w:top w:val="nil"/>
              <w:left w:val="nil"/>
              <w:bottom w:val="double" w:sz="6" w:space="0" w:color="44546A"/>
              <w:right w:val="double" w:sz="6" w:space="0" w:color="44546A"/>
            </w:tcBorders>
            <w:shd w:val="clear" w:color="auto" w:fill="auto"/>
            <w:vAlign w:val="center"/>
            <w:hideMark/>
          </w:tcPr>
          <w:p w14:paraId="56A099CC"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50</w:t>
            </w:r>
          </w:p>
        </w:tc>
        <w:tc>
          <w:tcPr>
            <w:tcW w:w="563" w:type="pct"/>
            <w:tcBorders>
              <w:top w:val="nil"/>
              <w:left w:val="nil"/>
              <w:bottom w:val="double" w:sz="6" w:space="0" w:color="44546A"/>
              <w:right w:val="double" w:sz="6" w:space="0" w:color="44546A"/>
            </w:tcBorders>
            <w:shd w:val="clear" w:color="auto" w:fill="auto"/>
            <w:vAlign w:val="center"/>
            <w:hideMark/>
          </w:tcPr>
          <w:p w14:paraId="6A391ACC"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35%</w:t>
            </w:r>
          </w:p>
        </w:tc>
        <w:tc>
          <w:tcPr>
            <w:tcW w:w="488" w:type="pct"/>
            <w:vMerge/>
            <w:tcBorders>
              <w:top w:val="nil"/>
              <w:left w:val="double" w:sz="6" w:space="0" w:color="44546A"/>
              <w:bottom w:val="double" w:sz="6" w:space="0" w:color="44546A"/>
              <w:right w:val="double" w:sz="6" w:space="0" w:color="44546A"/>
            </w:tcBorders>
            <w:shd w:val="clear" w:color="auto" w:fill="auto"/>
            <w:vAlign w:val="center"/>
            <w:hideMark/>
          </w:tcPr>
          <w:p w14:paraId="2BC5EF55" w14:textId="77777777" w:rsidR="00047538" w:rsidRPr="00EB031E" w:rsidRDefault="00047538" w:rsidP="00047538">
            <w:pPr>
              <w:spacing w:after="0" w:line="240" w:lineRule="auto"/>
              <w:rPr>
                <w:rFonts w:ascii="Book Antiqua" w:eastAsia="Times New Roman" w:hAnsi="Book Antiqua" w:cs="Calibri"/>
                <w:color w:val="000000"/>
                <w:sz w:val="18"/>
                <w:szCs w:val="18"/>
                <w:lang w:eastAsia="es-CR"/>
              </w:rPr>
            </w:pPr>
          </w:p>
        </w:tc>
        <w:tc>
          <w:tcPr>
            <w:tcW w:w="492" w:type="pct"/>
            <w:tcBorders>
              <w:top w:val="nil"/>
              <w:left w:val="nil"/>
              <w:bottom w:val="double" w:sz="6" w:space="0" w:color="44546A"/>
              <w:right w:val="double" w:sz="6" w:space="0" w:color="44546A"/>
            </w:tcBorders>
            <w:shd w:val="clear" w:color="auto" w:fill="auto"/>
            <w:vAlign w:val="center"/>
            <w:hideMark/>
          </w:tcPr>
          <w:p w14:paraId="637B66F2"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8</w:t>
            </w:r>
          </w:p>
        </w:tc>
        <w:tc>
          <w:tcPr>
            <w:tcW w:w="492" w:type="pct"/>
            <w:tcBorders>
              <w:top w:val="nil"/>
              <w:left w:val="nil"/>
              <w:bottom w:val="double" w:sz="6" w:space="0" w:color="44546A"/>
              <w:right w:val="double" w:sz="6" w:space="0" w:color="44546A"/>
            </w:tcBorders>
            <w:shd w:val="clear" w:color="auto" w:fill="auto"/>
            <w:vAlign w:val="center"/>
            <w:hideMark/>
          </w:tcPr>
          <w:p w14:paraId="10292E4E" w14:textId="77777777" w:rsidR="00047538" w:rsidRPr="00EB031E" w:rsidRDefault="00047538" w:rsidP="00047538">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6</w:t>
            </w:r>
          </w:p>
        </w:tc>
      </w:tr>
      <w:tr w:rsidR="00952403" w:rsidRPr="00047538" w14:paraId="20347C9C" w14:textId="77777777" w:rsidTr="00047538">
        <w:trPr>
          <w:trHeight w:val="330"/>
        </w:trPr>
        <w:tc>
          <w:tcPr>
            <w:tcW w:w="1671" w:type="pct"/>
            <w:vMerge w:val="restart"/>
            <w:tcBorders>
              <w:top w:val="nil"/>
              <w:left w:val="double" w:sz="6" w:space="0" w:color="44546A"/>
              <w:bottom w:val="double" w:sz="6" w:space="0" w:color="44546A"/>
              <w:right w:val="double" w:sz="6" w:space="0" w:color="44546A"/>
            </w:tcBorders>
            <w:shd w:val="clear" w:color="000000" w:fill="D9E1F2"/>
            <w:noWrap/>
            <w:vAlign w:val="center"/>
            <w:hideMark/>
          </w:tcPr>
          <w:p w14:paraId="7ACE74B0" w14:textId="77777777" w:rsidR="00047538" w:rsidRPr="00EB031E" w:rsidRDefault="00047538" w:rsidP="00047538">
            <w:pPr>
              <w:spacing w:after="0" w:line="240" w:lineRule="auto"/>
              <w:rPr>
                <w:rFonts w:ascii="Book Antiqua" w:eastAsia="Times New Roman" w:hAnsi="Book Antiqua" w:cs="Calibri"/>
                <w:sz w:val="18"/>
                <w:szCs w:val="18"/>
                <w:lang w:eastAsia="es-CR"/>
              </w:rPr>
            </w:pPr>
            <w:r w:rsidRPr="00EB031E">
              <w:rPr>
                <w:rFonts w:ascii="Book Antiqua" w:eastAsia="Times New Roman" w:hAnsi="Book Antiqua" w:cs="Calibri"/>
                <w:sz w:val="18"/>
                <w:szCs w:val="18"/>
                <w:lang w:eastAsia="es-CR"/>
              </w:rPr>
              <w:t>Tribunal de Cartago</w:t>
            </w:r>
          </w:p>
        </w:tc>
        <w:tc>
          <w:tcPr>
            <w:tcW w:w="501" w:type="pct"/>
            <w:tcBorders>
              <w:top w:val="nil"/>
              <w:left w:val="nil"/>
              <w:bottom w:val="double" w:sz="6" w:space="0" w:color="44546A"/>
              <w:right w:val="double" w:sz="6" w:space="0" w:color="44546A"/>
            </w:tcBorders>
            <w:shd w:val="clear" w:color="000000" w:fill="D9E1F2"/>
            <w:vAlign w:val="center"/>
            <w:hideMark/>
          </w:tcPr>
          <w:p w14:paraId="5D5F8543" w14:textId="77777777" w:rsidR="00047538" w:rsidRPr="00EB031E" w:rsidRDefault="00047538" w:rsidP="00047538">
            <w:pPr>
              <w:spacing w:after="0" w:line="240" w:lineRule="auto"/>
              <w:jc w:val="right"/>
              <w:rPr>
                <w:rFonts w:ascii="Book Antiqua" w:eastAsia="Times New Roman" w:hAnsi="Book Antiqua" w:cs="Calibri"/>
                <w:b/>
                <w:bCs/>
                <w:i/>
                <w:iCs/>
                <w:color w:val="000000"/>
                <w:sz w:val="18"/>
                <w:szCs w:val="18"/>
                <w:lang w:eastAsia="es-CR"/>
              </w:rPr>
            </w:pPr>
            <w:r w:rsidRPr="00EB031E">
              <w:rPr>
                <w:rFonts w:ascii="Book Antiqua" w:eastAsia="Times New Roman" w:hAnsi="Book Antiqua" w:cs="Calibri"/>
                <w:b/>
                <w:bCs/>
                <w:i/>
                <w:iCs/>
                <w:color w:val="000000"/>
                <w:sz w:val="18"/>
                <w:szCs w:val="18"/>
                <w:lang w:eastAsia="es-CR"/>
              </w:rPr>
              <w:t>Civil</w:t>
            </w:r>
          </w:p>
        </w:tc>
        <w:tc>
          <w:tcPr>
            <w:tcW w:w="300" w:type="pct"/>
            <w:vMerge w:val="restart"/>
            <w:tcBorders>
              <w:top w:val="nil"/>
              <w:left w:val="double" w:sz="6" w:space="0" w:color="44546A"/>
              <w:bottom w:val="double" w:sz="6" w:space="0" w:color="44546A"/>
              <w:right w:val="double" w:sz="6" w:space="0" w:color="44546A"/>
            </w:tcBorders>
            <w:shd w:val="clear" w:color="000000" w:fill="D9E1F2"/>
            <w:vAlign w:val="center"/>
            <w:hideMark/>
          </w:tcPr>
          <w:p w14:paraId="348848F6" w14:textId="77777777" w:rsidR="00047538" w:rsidRPr="00EB031E" w:rsidRDefault="00047538" w:rsidP="00047538">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68</w:t>
            </w:r>
          </w:p>
        </w:tc>
        <w:tc>
          <w:tcPr>
            <w:tcW w:w="491" w:type="pct"/>
            <w:tcBorders>
              <w:top w:val="nil"/>
              <w:left w:val="nil"/>
              <w:bottom w:val="double" w:sz="6" w:space="0" w:color="44546A"/>
              <w:right w:val="double" w:sz="6" w:space="0" w:color="44546A"/>
            </w:tcBorders>
            <w:shd w:val="clear" w:color="000000" w:fill="D9E1F2"/>
            <w:vAlign w:val="center"/>
            <w:hideMark/>
          </w:tcPr>
          <w:p w14:paraId="6B63D53D"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31</w:t>
            </w:r>
          </w:p>
        </w:tc>
        <w:tc>
          <w:tcPr>
            <w:tcW w:w="563" w:type="pct"/>
            <w:tcBorders>
              <w:top w:val="nil"/>
              <w:left w:val="nil"/>
              <w:bottom w:val="double" w:sz="6" w:space="0" w:color="44546A"/>
              <w:right w:val="double" w:sz="6" w:space="0" w:color="44546A"/>
            </w:tcBorders>
            <w:shd w:val="clear" w:color="000000" w:fill="D9E1F2"/>
            <w:vAlign w:val="center"/>
            <w:hideMark/>
          </w:tcPr>
          <w:p w14:paraId="6FF87720"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46%</w:t>
            </w:r>
          </w:p>
        </w:tc>
        <w:tc>
          <w:tcPr>
            <w:tcW w:w="488" w:type="pct"/>
            <w:vMerge w:val="restart"/>
            <w:tcBorders>
              <w:top w:val="nil"/>
              <w:left w:val="double" w:sz="6" w:space="0" w:color="44546A"/>
              <w:bottom w:val="double" w:sz="6" w:space="0" w:color="44546A"/>
              <w:right w:val="double" w:sz="6" w:space="0" w:color="44546A"/>
            </w:tcBorders>
            <w:shd w:val="clear" w:color="000000" w:fill="D9E1F2"/>
            <w:vAlign w:val="center"/>
            <w:hideMark/>
          </w:tcPr>
          <w:p w14:paraId="29FEEB1B"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w:t>
            </w:r>
          </w:p>
        </w:tc>
        <w:tc>
          <w:tcPr>
            <w:tcW w:w="492" w:type="pct"/>
            <w:tcBorders>
              <w:top w:val="nil"/>
              <w:left w:val="nil"/>
              <w:bottom w:val="double" w:sz="6" w:space="0" w:color="44546A"/>
              <w:right w:val="double" w:sz="6" w:space="0" w:color="44546A"/>
            </w:tcBorders>
            <w:shd w:val="clear" w:color="000000" w:fill="D9E1F2"/>
            <w:vAlign w:val="center"/>
            <w:hideMark/>
          </w:tcPr>
          <w:p w14:paraId="338E349D"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10</w:t>
            </w:r>
          </w:p>
        </w:tc>
        <w:tc>
          <w:tcPr>
            <w:tcW w:w="492" w:type="pct"/>
            <w:tcBorders>
              <w:top w:val="nil"/>
              <w:left w:val="nil"/>
              <w:bottom w:val="double" w:sz="6" w:space="0" w:color="44546A"/>
              <w:right w:val="double" w:sz="6" w:space="0" w:color="44546A"/>
            </w:tcBorders>
            <w:shd w:val="clear" w:color="000000" w:fill="D9E1F2"/>
            <w:vAlign w:val="center"/>
            <w:hideMark/>
          </w:tcPr>
          <w:p w14:paraId="718541A6" w14:textId="77777777" w:rsidR="00047538" w:rsidRPr="00EB031E" w:rsidRDefault="00047538" w:rsidP="00047538">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8</w:t>
            </w:r>
          </w:p>
        </w:tc>
      </w:tr>
      <w:tr w:rsidR="00EB031E" w:rsidRPr="00047538" w14:paraId="746A1D3E" w14:textId="77777777" w:rsidTr="00EB031E">
        <w:trPr>
          <w:trHeight w:val="330"/>
        </w:trPr>
        <w:tc>
          <w:tcPr>
            <w:tcW w:w="1671" w:type="pct"/>
            <w:vMerge/>
            <w:tcBorders>
              <w:top w:val="nil"/>
              <w:left w:val="double" w:sz="6" w:space="0" w:color="44546A"/>
              <w:bottom w:val="double" w:sz="6" w:space="0" w:color="44546A"/>
              <w:right w:val="double" w:sz="6" w:space="0" w:color="44546A"/>
            </w:tcBorders>
            <w:vAlign w:val="center"/>
            <w:hideMark/>
          </w:tcPr>
          <w:p w14:paraId="189D3787" w14:textId="77777777" w:rsidR="00047538" w:rsidRPr="00EB031E" w:rsidRDefault="00047538" w:rsidP="00047538">
            <w:pPr>
              <w:spacing w:after="0" w:line="240" w:lineRule="auto"/>
              <w:rPr>
                <w:rFonts w:ascii="Book Antiqua" w:eastAsia="Times New Roman" w:hAnsi="Book Antiqua" w:cs="Calibri"/>
                <w:sz w:val="18"/>
                <w:szCs w:val="18"/>
                <w:lang w:eastAsia="es-CR"/>
              </w:rPr>
            </w:pPr>
          </w:p>
        </w:tc>
        <w:tc>
          <w:tcPr>
            <w:tcW w:w="501" w:type="pct"/>
            <w:tcBorders>
              <w:top w:val="nil"/>
              <w:left w:val="nil"/>
              <w:bottom w:val="double" w:sz="6" w:space="0" w:color="44546A"/>
              <w:right w:val="double" w:sz="6" w:space="0" w:color="44546A"/>
            </w:tcBorders>
            <w:shd w:val="clear" w:color="000000" w:fill="D9E1F2"/>
            <w:vAlign w:val="center"/>
            <w:hideMark/>
          </w:tcPr>
          <w:p w14:paraId="6267FB20" w14:textId="77777777" w:rsidR="00047538" w:rsidRPr="00EB031E" w:rsidRDefault="00047538" w:rsidP="00047538">
            <w:pPr>
              <w:spacing w:after="0" w:line="240" w:lineRule="auto"/>
              <w:jc w:val="right"/>
              <w:rPr>
                <w:rFonts w:ascii="Book Antiqua" w:eastAsia="Times New Roman" w:hAnsi="Book Antiqua" w:cs="Calibri"/>
                <w:b/>
                <w:bCs/>
                <w:i/>
                <w:iCs/>
                <w:color w:val="000000"/>
                <w:sz w:val="18"/>
                <w:szCs w:val="18"/>
                <w:lang w:eastAsia="es-CR"/>
              </w:rPr>
            </w:pPr>
            <w:r w:rsidRPr="00EB031E">
              <w:rPr>
                <w:rFonts w:ascii="Book Antiqua" w:eastAsia="Times New Roman" w:hAnsi="Book Antiqua" w:cs="Calibri"/>
                <w:b/>
                <w:bCs/>
                <w:i/>
                <w:iCs/>
                <w:color w:val="000000"/>
                <w:sz w:val="18"/>
                <w:szCs w:val="18"/>
                <w:lang w:eastAsia="es-CR"/>
              </w:rPr>
              <w:t>Trabajo</w:t>
            </w:r>
          </w:p>
        </w:tc>
        <w:tc>
          <w:tcPr>
            <w:tcW w:w="300" w:type="pct"/>
            <w:vMerge/>
            <w:tcBorders>
              <w:top w:val="nil"/>
              <w:left w:val="double" w:sz="6" w:space="0" w:color="44546A"/>
              <w:bottom w:val="double" w:sz="6" w:space="0" w:color="44546A"/>
              <w:right w:val="double" w:sz="6" w:space="0" w:color="44546A"/>
            </w:tcBorders>
            <w:vAlign w:val="center"/>
            <w:hideMark/>
          </w:tcPr>
          <w:p w14:paraId="4A19E699" w14:textId="77777777" w:rsidR="00047538" w:rsidRPr="00EB031E" w:rsidRDefault="00047538" w:rsidP="00047538">
            <w:pPr>
              <w:spacing w:after="0" w:line="240" w:lineRule="auto"/>
              <w:rPr>
                <w:rFonts w:ascii="Book Antiqua" w:eastAsia="Times New Roman" w:hAnsi="Book Antiqua" w:cs="Calibri"/>
                <w:b/>
                <w:bCs/>
                <w:color w:val="000000"/>
                <w:sz w:val="18"/>
                <w:szCs w:val="18"/>
                <w:lang w:eastAsia="es-CR"/>
              </w:rPr>
            </w:pPr>
          </w:p>
        </w:tc>
        <w:tc>
          <w:tcPr>
            <w:tcW w:w="491" w:type="pct"/>
            <w:tcBorders>
              <w:top w:val="nil"/>
              <w:left w:val="nil"/>
              <w:bottom w:val="double" w:sz="6" w:space="0" w:color="44546A"/>
              <w:right w:val="double" w:sz="6" w:space="0" w:color="44546A"/>
            </w:tcBorders>
            <w:shd w:val="clear" w:color="000000" w:fill="D9E1F2"/>
            <w:vAlign w:val="center"/>
            <w:hideMark/>
          </w:tcPr>
          <w:p w14:paraId="5EB04B9B"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37</w:t>
            </w:r>
          </w:p>
        </w:tc>
        <w:tc>
          <w:tcPr>
            <w:tcW w:w="563" w:type="pct"/>
            <w:tcBorders>
              <w:top w:val="nil"/>
              <w:left w:val="nil"/>
              <w:bottom w:val="double" w:sz="6" w:space="0" w:color="44546A"/>
              <w:right w:val="double" w:sz="6" w:space="0" w:color="44546A"/>
            </w:tcBorders>
            <w:shd w:val="clear" w:color="000000" w:fill="D9E1F2"/>
            <w:vAlign w:val="center"/>
            <w:hideMark/>
          </w:tcPr>
          <w:p w14:paraId="2C5152D9"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54%</w:t>
            </w:r>
          </w:p>
        </w:tc>
        <w:tc>
          <w:tcPr>
            <w:tcW w:w="488" w:type="pct"/>
            <w:vMerge/>
            <w:tcBorders>
              <w:top w:val="nil"/>
              <w:left w:val="double" w:sz="6" w:space="0" w:color="44546A"/>
              <w:bottom w:val="double" w:sz="6" w:space="0" w:color="44546A"/>
              <w:right w:val="double" w:sz="6" w:space="0" w:color="44546A"/>
            </w:tcBorders>
            <w:vAlign w:val="center"/>
            <w:hideMark/>
          </w:tcPr>
          <w:p w14:paraId="46E42AFE" w14:textId="77777777" w:rsidR="00047538" w:rsidRPr="00EB031E" w:rsidRDefault="00047538" w:rsidP="00047538">
            <w:pPr>
              <w:spacing w:after="0" w:line="240" w:lineRule="auto"/>
              <w:rPr>
                <w:rFonts w:ascii="Book Antiqua" w:eastAsia="Times New Roman" w:hAnsi="Book Antiqua" w:cs="Calibri"/>
                <w:color w:val="000000"/>
                <w:sz w:val="18"/>
                <w:szCs w:val="18"/>
                <w:lang w:eastAsia="es-CR"/>
              </w:rPr>
            </w:pPr>
          </w:p>
        </w:tc>
        <w:tc>
          <w:tcPr>
            <w:tcW w:w="492" w:type="pct"/>
            <w:tcBorders>
              <w:top w:val="nil"/>
              <w:left w:val="nil"/>
              <w:bottom w:val="double" w:sz="6" w:space="0" w:color="44546A"/>
              <w:right w:val="double" w:sz="6" w:space="0" w:color="44546A"/>
            </w:tcBorders>
            <w:shd w:val="clear" w:color="000000" w:fill="D9E1F2"/>
            <w:vAlign w:val="center"/>
            <w:hideMark/>
          </w:tcPr>
          <w:p w14:paraId="3A523C26"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12</w:t>
            </w:r>
          </w:p>
        </w:tc>
        <w:tc>
          <w:tcPr>
            <w:tcW w:w="492" w:type="pct"/>
            <w:tcBorders>
              <w:top w:val="nil"/>
              <w:left w:val="nil"/>
              <w:bottom w:val="double" w:sz="6" w:space="0" w:color="44546A"/>
              <w:right w:val="double" w:sz="6" w:space="0" w:color="44546A"/>
            </w:tcBorders>
            <w:shd w:val="clear" w:color="000000" w:fill="D9E1F2"/>
            <w:vAlign w:val="center"/>
            <w:hideMark/>
          </w:tcPr>
          <w:p w14:paraId="7FDA4A87" w14:textId="77777777" w:rsidR="00047538" w:rsidRPr="00EB031E" w:rsidRDefault="00047538" w:rsidP="00047538">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9</w:t>
            </w:r>
          </w:p>
        </w:tc>
      </w:tr>
      <w:tr w:rsidR="00EB031E" w:rsidRPr="00047538" w14:paraId="0A3307DB" w14:textId="77777777" w:rsidTr="00EB031E">
        <w:trPr>
          <w:trHeight w:val="330"/>
        </w:trPr>
        <w:tc>
          <w:tcPr>
            <w:tcW w:w="1671" w:type="pct"/>
            <w:vMerge w:val="restart"/>
            <w:tcBorders>
              <w:top w:val="nil"/>
              <w:left w:val="double" w:sz="6" w:space="0" w:color="44546A"/>
              <w:bottom w:val="double" w:sz="6" w:space="0" w:color="44546A"/>
              <w:right w:val="double" w:sz="6" w:space="0" w:color="44546A"/>
            </w:tcBorders>
            <w:shd w:val="clear" w:color="auto" w:fill="auto"/>
            <w:noWrap/>
            <w:vAlign w:val="center"/>
            <w:hideMark/>
          </w:tcPr>
          <w:p w14:paraId="25F0CBA3" w14:textId="77777777" w:rsidR="00047538" w:rsidRPr="00EB031E" w:rsidRDefault="00047538" w:rsidP="00047538">
            <w:pPr>
              <w:spacing w:after="0" w:line="240" w:lineRule="auto"/>
              <w:rPr>
                <w:rFonts w:ascii="Book Antiqua" w:eastAsia="Times New Roman" w:hAnsi="Book Antiqua" w:cs="Calibri"/>
                <w:sz w:val="18"/>
                <w:szCs w:val="18"/>
                <w:lang w:eastAsia="es-CR"/>
              </w:rPr>
            </w:pPr>
            <w:r w:rsidRPr="00EB031E">
              <w:rPr>
                <w:rFonts w:ascii="Book Antiqua" w:eastAsia="Times New Roman" w:hAnsi="Book Antiqua" w:cs="Calibri"/>
                <w:sz w:val="18"/>
                <w:szCs w:val="18"/>
                <w:lang w:eastAsia="es-CR"/>
              </w:rPr>
              <w:t>Tribunal de Heredia</w:t>
            </w:r>
          </w:p>
        </w:tc>
        <w:tc>
          <w:tcPr>
            <w:tcW w:w="501" w:type="pct"/>
            <w:tcBorders>
              <w:top w:val="nil"/>
              <w:left w:val="nil"/>
              <w:bottom w:val="double" w:sz="6" w:space="0" w:color="44546A"/>
              <w:right w:val="double" w:sz="6" w:space="0" w:color="44546A"/>
            </w:tcBorders>
            <w:shd w:val="clear" w:color="auto" w:fill="auto"/>
            <w:vAlign w:val="center"/>
            <w:hideMark/>
          </w:tcPr>
          <w:p w14:paraId="21C0E649" w14:textId="77777777" w:rsidR="00047538" w:rsidRPr="00EB031E" w:rsidRDefault="00047538" w:rsidP="00047538">
            <w:pPr>
              <w:spacing w:after="0" w:line="240" w:lineRule="auto"/>
              <w:jc w:val="right"/>
              <w:rPr>
                <w:rFonts w:ascii="Book Antiqua" w:eastAsia="Times New Roman" w:hAnsi="Book Antiqua" w:cs="Calibri"/>
                <w:b/>
                <w:bCs/>
                <w:i/>
                <w:iCs/>
                <w:color w:val="000000"/>
                <w:sz w:val="18"/>
                <w:szCs w:val="18"/>
                <w:lang w:eastAsia="es-CR"/>
              </w:rPr>
            </w:pPr>
            <w:r w:rsidRPr="00EB031E">
              <w:rPr>
                <w:rFonts w:ascii="Book Antiqua" w:eastAsia="Times New Roman" w:hAnsi="Book Antiqua" w:cs="Calibri"/>
                <w:b/>
                <w:bCs/>
                <w:i/>
                <w:iCs/>
                <w:color w:val="000000"/>
                <w:sz w:val="18"/>
                <w:szCs w:val="18"/>
                <w:lang w:eastAsia="es-CR"/>
              </w:rPr>
              <w:t>Civil</w:t>
            </w:r>
          </w:p>
        </w:tc>
        <w:tc>
          <w:tcPr>
            <w:tcW w:w="300" w:type="pct"/>
            <w:vMerge w:val="restart"/>
            <w:tcBorders>
              <w:top w:val="nil"/>
              <w:left w:val="double" w:sz="6" w:space="0" w:color="44546A"/>
              <w:bottom w:val="double" w:sz="6" w:space="0" w:color="44546A"/>
              <w:right w:val="double" w:sz="6" w:space="0" w:color="44546A"/>
            </w:tcBorders>
            <w:shd w:val="clear" w:color="auto" w:fill="auto"/>
            <w:vAlign w:val="center"/>
            <w:hideMark/>
          </w:tcPr>
          <w:p w14:paraId="004F4F99" w14:textId="77777777" w:rsidR="00047538" w:rsidRPr="00EB031E" w:rsidRDefault="00047538" w:rsidP="00047538">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75</w:t>
            </w:r>
          </w:p>
        </w:tc>
        <w:tc>
          <w:tcPr>
            <w:tcW w:w="491" w:type="pct"/>
            <w:tcBorders>
              <w:top w:val="nil"/>
              <w:left w:val="nil"/>
              <w:bottom w:val="double" w:sz="6" w:space="0" w:color="44546A"/>
              <w:right w:val="double" w:sz="6" w:space="0" w:color="44546A"/>
            </w:tcBorders>
            <w:shd w:val="clear" w:color="auto" w:fill="auto"/>
            <w:vAlign w:val="center"/>
            <w:hideMark/>
          </w:tcPr>
          <w:p w14:paraId="7DAD4239"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39</w:t>
            </w:r>
          </w:p>
        </w:tc>
        <w:tc>
          <w:tcPr>
            <w:tcW w:w="563" w:type="pct"/>
            <w:tcBorders>
              <w:top w:val="nil"/>
              <w:left w:val="nil"/>
              <w:bottom w:val="double" w:sz="6" w:space="0" w:color="44546A"/>
              <w:right w:val="double" w:sz="6" w:space="0" w:color="44546A"/>
            </w:tcBorders>
            <w:shd w:val="clear" w:color="auto" w:fill="auto"/>
            <w:vAlign w:val="center"/>
            <w:hideMark/>
          </w:tcPr>
          <w:p w14:paraId="7AD273E6"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52%</w:t>
            </w:r>
          </w:p>
        </w:tc>
        <w:tc>
          <w:tcPr>
            <w:tcW w:w="488" w:type="pct"/>
            <w:vMerge w:val="restart"/>
            <w:tcBorders>
              <w:top w:val="nil"/>
              <w:left w:val="double" w:sz="6" w:space="0" w:color="44546A"/>
              <w:bottom w:val="double" w:sz="6" w:space="0" w:color="44546A"/>
              <w:right w:val="double" w:sz="6" w:space="0" w:color="44546A"/>
            </w:tcBorders>
            <w:shd w:val="clear" w:color="auto" w:fill="auto"/>
            <w:vAlign w:val="center"/>
            <w:hideMark/>
          </w:tcPr>
          <w:p w14:paraId="76B53C0E"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w:t>
            </w:r>
          </w:p>
        </w:tc>
        <w:tc>
          <w:tcPr>
            <w:tcW w:w="492" w:type="pct"/>
            <w:tcBorders>
              <w:top w:val="nil"/>
              <w:left w:val="nil"/>
              <w:bottom w:val="double" w:sz="6" w:space="0" w:color="44546A"/>
              <w:right w:val="double" w:sz="6" w:space="0" w:color="44546A"/>
            </w:tcBorders>
            <w:shd w:val="clear" w:color="auto" w:fill="auto"/>
            <w:vAlign w:val="center"/>
            <w:hideMark/>
          </w:tcPr>
          <w:p w14:paraId="21CDEEE2"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13</w:t>
            </w:r>
          </w:p>
        </w:tc>
        <w:tc>
          <w:tcPr>
            <w:tcW w:w="492" w:type="pct"/>
            <w:tcBorders>
              <w:top w:val="nil"/>
              <w:left w:val="nil"/>
              <w:bottom w:val="double" w:sz="6" w:space="0" w:color="44546A"/>
              <w:right w:val="double" w:sz="6" w:space="0" w:color="44546A"/>
            </w:tcBorders>
            <w:shd w:val="clear" w:color="auto" w:fill="auto"/>
            <w:vAlign w:val="center"/>
            <w:hideMark/>
          </w:tcPr>
          <w:p w14:paraId="74520913" w14:textId="77777777" w:rsidR="00047538" w:rsidRPr="00EB031E" w:rsidRDefault="00047538" w:rsidP="00047538">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9</w:t>
            </w:r>
          </w:p>
        </w:tc>
      </w:tr>
      <w:tr w:rsidR="00EB031E" w:rsidRPr="00047538" w14:paraId="7C16A241" w14:textId="77777777" w:rsidTr="00EB031E">
        <w:trPr>
          <w:trHeight w:val="330"/>
        </w:trPr>
        <w:tc>
          <w:tcPr>
            <w:tcW w:w="1671" w:type="pct"/>
            <w:vMerge/>
            <w:tcBorders>
              <w:top w:val="nil"/>
              <w:left w:val="double" w:sz="6" w:space="0" w:color="44546A"/>
              <w:bottom w:val="double" w:sz="6" w:space="0" w:color="44546A"/>
              <w:right w:val="double" w:sz="6" w:space="0" w:color="44546A"/>
            </w:tcBorders>
            <w:shd w:val="clear" w:color="auto" w:fill="auto"/>
            <w:vAlign w:val="center"/>
            <w:hideMark/>
          </w:tcPr>
          <w:p w14:paraId="62C10A0A" w14:textId="77777777" w:rsidR="00047538" w:rsidRPr="00EB031E" w:rsidRDefault="00047538" w:rsidP="00047538">
            <w:pPr>
              <w:spacing w:after="0" w:line="240" w:lineRule="auto"/>
              <w:rPr>
                <w:rFonts w:ascii="Book Antiqua" w:eastAsia="Times New Roman" w:hAnsi="Book Antiqua" w:cs="Calibri"/>
                <w:sz w:val="18"/>
                <w:szCs w:val="18"/>
                <w:lang w:eastAsia="es-CR"/>
              </w:rPr>
            </w:pPr>
          </w:p>
        </w:tc>
        <w:tc>
          <w:tcPr>
            <w:tcW w:w="501" w:type="pct"/>
            <w:tcBorders>
              <w:top w:val="nil"/>
              <w:left w:val="nil"/>
              <w:bottom w:val="double" w:sz="6" w:space="0" w:color="44546A"/>
              <w:right w:val="double" w:sz="6" w:space="0" w:color="44546A"/>
            </w:tcBorders>
            <w:shd w:val="clear" w:color="auto" w:fill="auto"/>
            <w:vAlign w:val="center"/>
            <w:hideMark/>
          </w:tcPr>
          <w:p w14:paraId="22AB054A" w14:textId="77777777" w:rsidR="00047538" w:rsidRPr="00EB031E" w:rsidRDefault="00047538" w:rsidP="00047538">
            <w:pPr>
              <w:spacing w:after="0" w:line="240" w:lineRule="auto"/>
              <w:jc w:val="right"/>
              <w:rPr>
                <w:rFonts w:ascii="Book Antiqua" w:eastAsia="Times New Roman" w:hAnsi="Book Antiqua" w:cs="Calibri"/>
                <w:b/>
                <w:bCs/>
                <w:i/>
                <w:iCs/>
                <w:color w:val="000000"/>
                <w:sz w:val="18"/>
                <w:szCs w:val="18"/>
                <w:lang w:eastAsia="es-CR"/>
              </w:rPr>
            </w:pPr>
            <w:r w:rsidRPr="00EB031E">
              <w:rPr>
                <w:rFonts w:ascii="Book Antiqua" w:eastAsia="Times New Roman" w:hAnsi="Book Antiqua" w:cs="Calibri"/>
                <w:b/>
                <w:bCs/>
                <w:i/>
                <w:iCs/>
                <w:color w:val="000000"/>
                <w:sz w:val="18"/>
                <w:szCs w:val="18"/>
                <w:lang w:eastAsia="es-CR"/>
              </w:rPr>
              <w:t>Trabajo</w:t>
            </w:r>
          </w:p>
        </w:tc>
        <w:tc>
          <w:tcPr>
            <w:tcW w:w="300" w:type="pct"/>
            <w:vMerge/>
            <w:tcBorders>
              <w:top w:val="nil"/>
              <w:left w:val="double" w:sz="6" w:space="0" w:color="44546A"/>
              <w:bottom w:val="double" w:sz="6" w:space="0" w:color="44546A"/>
              <w:right w:val="double" w:sz="6" w:space="0" w:color="44546A"/>
            </w:tcBorders>
            <w:shd w:val="clear" w:color="auto" w:fill="auto"/>
            <w:vAlign w:val="center"/>
            <w:hideMark/>
          </w:tcPr>
          <w:p w14:paraId="15F6B1B1" w14:textId="77777777" w:rsidR="00047538" w:rsidRPr="00EB031E" w:rsidRDefault="00047538" w:rsidP="00047538">
            <w:pPr>
              <w:spacing w:after="0" w:line="240" w:lineRule="auto"/>
              <w:rPr>
                <w:rFonts w:ascii="Book Antiqua" w:eastAsia="Times New Roman" w:hAnsi="Book Antiqua" w:cs="Calibri"/>
                <w:b/>
                <w:bCs/>
                <w:color w:val="000000"/>
                <w:sz w:val="18"/>
                <w:szCs w:val="18"/>
                <w:lang w:eastAsia="es-CR"/>
              </w:rPr>
            </w:pPr>
          </w:p>
        </w:tc>
        <w:tc>
          <w:tcPr>
            <w:tcW w:w="491" w:type="pct"/>
            <w:tcBorders>
              <w:top w:val="nil"/>
              <w:left w:val="nil"/>
              <w:bottom w:val="double" w:sz="6" w:space="0" w:color="44546A"/>
              <w:right w:val="double" w:sz="6" w:space="0" w:color="44546A"/>
            </w:tcBorders>
            <w:shd w:val="clear" w:color="auto" w:fill="auto"/>
            <w:vAlign w:val="center"/>
            <w:hideMark/>
          </w:tcPr>
          <w:p w14:paraId="340B838E"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36</w:t>
            </w:r>
          </w:p>
        </w:tc>
        <w:tc>
          <w:tcPr>
            <w:tcW w:w="563" w:type="pct"/>
            <w:tcBorders>
              <w:top w:val="nil"/>
              <w:left w:val="nil"/>
              <w:bottom w:val="double" w:sz="6" w:space="0" w:color="44546A"/>
              <w:right w:val="double" w:sz="6" w:space="0" w:color="44546A"/>
            </w:tcBorders>
            <w:shd w:val="clear" w:color="auto" w:fill="auto"/>
            <w:vAlign w:val="center"/>
            <w:hideMark/>
          </w:tcPr>
          <w:p w14:paraId="38C2B787"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48%</w:t>
            </w:r>
          </w:p>
        </w:tc>
        <w:tc>
          <w:tcPr>
            <w:tcW w:w="488" w:type="pct"/>
            <w:vMerge/>
            <w:tcBorders>
              <w:top w:val="nil"/>
              <w:left w:val="double" w:sz="6" w:space="0" w:color="44546A"/>
              <w:bottom w:val="double" w:sz="6" w:space="0" w:color="44546A"/>
              <w:right w:val="double" w:sz="6" w:space="0" w:color="44546A"/>
            </w:tcBorders>
            <w:shd w:val="clear" w:color="auto" w:fill="auto"/>
            <w:vAlign w:val="center"/>
            <w:hideMark/>
          </w:tcPr>
          <w:p w14:paraId="210780D3" w14:textId="77777777" w:rsidR="00047538" w:rsidRPr="00EB031E" w:rsidRDefault="00047538" w:rsidP="00047538">
            <w:pPr>
              <w:spacing w:after="0" w:line="240" w:lineRule="auto"/>
              <w:rPr>
                <w:rFonts w:ascii="Book Antiqua" w:eastAsia="Times New Roman" w:hAnsi="Book Antiqua" w:cs="Calibri"/>
                <w:color w:val="000000"/>
                <w:sz w:val="18"/>
                <w:szCs w:val="18"/>
                <w:lang w:eastAsia="es-CR"/>
              </w:rPr>
            </w:pPr>
          </w:p>
        </w:tc>
        <w:tc>
          <w:tcPr>
            <w:tcW w:w="492" w:type="pct"/>
            <w:tcBorders>
              <w:top w:val="nil"/>
              <w:left w:val="nil"/>
              <w:bottom w:val="double" w:sz="6" w:space="0" w:color="44546A"/>
              <w:right w:val="double" w:sz="6" w:space="0" w:color="44546A"/>
            </w:tcBorders>
            <w:shd w:val="clear" w:color="auto" w:fill="auto"/>
            <w:vAlign w:val="center"/>
            <w:hideMark/>
          </w:tcPr>
          <w:p w14:paraId="37E5DCC5"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12</w:t>
            </w:r>
          </w:p>
        </w:tc>
        <w:tc>
          <w:tcPr>
            <w:tcW w:w="492" w:type="pct"/>
            <w:tcBorders>
              <w:top w:val="nil"/>
              <w:left w:val="nil"/>
              <w:bottom w:val="double" w:sz="6" w:space="0" w:color="44546A"/>
              <w:right w:val="double" w:sz="6" w:space="0" w:color="44546A"/>
            </w:tcBorders>
            <w:shd w:val="clear" w:color="auto" w:fill="auto"/>
            <w:vAlign w:val="center"/>
            <w:hideMark/>
          </w:tcPr>
          <w:p w14:paraId="08533B4D" w14:textId="77777777" w:rsidR="00047538" w:rsidRPr="00EB031E" w:rsidRDefault="00047538" w:rsidP="00047538">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8</w:t>
            </w:r>
          </w:p>
        </w:tc>
      </w:tr>
      <w:tr w:rsidR="00952403" w:rsidRPr="00047538" w14:paraId="1F208A05" w14:textId="77777777" w:rsidTr="00047538">
        <w:trPr>
          <w:trHeight w:val="330"/>
        </w:trPr>
        <w:tc>
          <w:tcPr>
            <w:tcW w:w="1671" w:type="pct"/>
            <w:vMerge w:val="restart"/>
            <w:tcBorders>
              <w:top w:val="nil"/>
              <w:left w:val="double" w:sz="6" w:space="0" w:color="44546A"/>
              <w:bottom w:val="double" w:sz="6" w:space="0" w:color="44546A"/>
              <w:right w:val="double" w:sz="6" w:space="0" w:color="44546A"/>
            </w:tcBorders>
            <w:shd w:val="clear" w:color="000000" w:fill="D9E1F2"/>
            <w:noWrap/>
            <w:vAlign w:val="center"/>
            <w:hideMark/>
          </w:tcPr>
          <w:p w14:paraId="0B5B9B0B" w14:textId="77777777" w:rsidR="00047538" w:rsidRPr="00EB031E" w:rsidRDefault="00047538" w:rsidP="00047538">
            <w:pPr>
              <w:spacing w:after="0" w:line="240" w:lineRule="auto"/>
              <w:rPr>
                <w:rFonts w:ascii="Book Antiqua" w:eastAsia="Times New Roman" w:hAnsi="Book Antiqua" w:cs="Calibri"/>
                <w:sz w:val="18"/>
                <w:szCs w:val="18"/>
                <w:lang w:eastAsia="es-CR"/>
              </w:rPr>
            </w:pPr>
            <w:r w:rsidRPr="00EB031E">
              <w:rPr>
                <w:rFonts w:ascii="Book Antiqua" w:eastAsia="Times New Roman" w:hAnsi="Book Antiqua" w:cs="Calibri"/>
                <w:sz w:val="18"/>
                <w:szCs w:val="18"/>
                <w:lang w:eastAsia="es-CR"/>
              </w:rPr>
              <w:t xml:space="preserve">Tribunal Primer Circuito Judicial de Guanacaste (Liberia) </w:t>
            </w:r>
          </w:p>
        </w:tc>
        <w:tc>
          <w:tcPr>
            <w:tcW w:w="501" w:type="pct"/>
            <w:tcBorders>
              <w:top w:val="nil"/>
              <w:left w:val="nil"/>
              <w:bottom w:val="double" w:sz="6" w:space="0" w:color="44546A"/>
              <w:right w:val="double" w:sz="6" w:space="0" w:color="44546A"/>
            </w:tcBorders>
            <w:shd w:val="clear" w:color="000000" w:fill="D9E1F2"/>
            <w:vAlign w:val="center"/>
            <w:hideMark/>
          </w:tcPr>
          <w:p w14:paraId="54579930" w14:textId="77777777" w:rsidR="00047538" w:rsidRPr="00EB031E" w:rsidRDefault="00047538" w:rsidP="00047538">
            <w:pPr>
              <w:spacing w:after="0" w:line="240" w:lineRule="auto"/>
              <w:jc w:val="right"/>
              <w:rPr>
                <w:rFonts w:ascii="Book Antiqua" w:eastAsia="Times New Roman" w:hAnsi="Book Antiqua" w:cs="Calibri"/>
                <w:b/>
                <w:bCs/>
                <w:i/>
                <w:iCs/>
                <w:color w:val="000000"/>
                <w:sz w:val="18"/>
                <w:szCs w:val="18"/>
                <w:lang w:eastAsia="es-CR"/>
              </w:rPr>
            </w:pPr>
            <w:r w:rsidRPr="00EB031E">
              <w:rPr>
                <w:rFonts w:ascii="Book Antiqua" w:eastAsia="Times New Roman" w:hAnsi="Book Antiqua" w:cs="Calibri"/>
                <w:b/>
                <w:bCs/>
                <w:i/>
                <w:iCs/>
                <w:color w:val="000000"/>
                <w:sz w:val="18"/>
                <w:szCs w:val="18"/>
                <w:lang w:eastAsia="es-CR"/>
              </w:rPr>
              <w:t>Civil</w:t>
            </w:r>
          </w:p>
        </w:tc>
        <w:tc>
          <w:tcPr>
            <w:tcW w:w="300" w:type="pct"/>
            <w:vMerge w:val="restart"/>
            <w:tcBorders>
              <w:top w:val="nil"/>
              <w:left w:val="double" w:sz="6" w:space="0" w:color="44546A"/>
              <w:bottom w:val="double" w:sz="6" w:space="0" w:color="44546A"/>
              <w:right w:val="double" w:sz="6" w:space="0" w:color="44546A"/>
            </w:tcBorders>
            <w:shd w:val="clear" w:color="000000" w:fill="D9E1F2"/>
            <w:vAlign w:val="center"/>
            <w:hideMark/>
          </w:tcPr>
          <w:p w14:paraId="3F9C9603" w14:textId="77777777" w:rsidR="00047538" w:rsidRPr="00EB031E" w:rsidRDefault="00047538" w:rsidP="00047538">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48</w:t>
            </w:r>
          </w:p>
        </w:tc>
        <w:tc>
          <w:tcPr>
            <w:tcW w:w="491" w:type="pct"/>
            <w:tcBorders>
              <w:top w:val="nil"/>
              <w:left w:val="nil"/>
              <w:bottom w:val="double" w:sz="6" w:space="0" w:color="44546A"/>
              <w:right w:val="double" w:sz="6" w:space="0" w:color="44546A"/>
            </w:tcBorders>
            <w:shd w:val="clear" w:color="000000" w:fill="D9E1F2"/>
            <w:vAlign w:val="center"/>
            <w:hideMark/>
          </w:tcPr>
          <w:p w14:paraId="7533C72E"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26</w:t>
            </w:r>
          </w:p>
        </w:tc>
        <w:tc>
          <w:tcPr>
            <w:tcW w:w="563" w:type="pct"/>
            <w:tcBorders>
              <w:top w:val="nil"/>
              <w:left w:val="nil"/>
              <w:bottom w:val="double" w:sz="6" w:space="0" w:color="44546A"/>
              <w:right w:val="double" w:sz="6" w:space="0" w:color="44546A"/>
            </w:tcBorders>
            <w:shd w:val="clear" w:color="000000" w:fill="D9E1F2"/>
            <w:vAlign w:val="center"/>
            <w:hideMark/>
          </w:tcPr>
          <w:p w14:paraId="5E6D2499"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54%</w:t>
            </w:r>
          </w:p>
        </w:tc>
        <w:tc>
          <w:tcPr>
            <w:tcW w:w="488" w:type="pct"/>
            <w:vMerge w:val="restart"/>
            <w:tcBorders>
              <w:top w:val="nil"/>
              <w:left w:val="double" w:sz="6" w:space="0" w:color="44546A"/>
              <w:bottom w:val="double" w:sz="6" w:space="0" w:color="44546A"/>
              <w:right w:val="double" w:sz="6" w:space="0" w:color="44546A"/>
            </w:tcBorders>
            <w:shd w:val="clear" w:color="000000" w:fill="D9E1F2"/>
            <w:vAlign w:val="center"/>
            <w:hideMark/>
          </w:tcPr>
          <w:p w14:paraId="1C21E936"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w:t>
            </w:r>
          </w:p>
        </w:tc>
        <w:tc>
          <w:tcPr>
            <w:tcW w:w="492" w:type="pct"/>
            <w:tcBorders>
              <w:top w:val="nil"/>
              <w:left w:val="nil"/>
              <w:bottom w:val="double" w:sz="6" w:space="0" w:color="44546A"/>
              <w:right w:val="double" w:sz="6" w:space="0" w:color="44546A"/>
            </w:tcBorders>
            <w:shd w:val="clear" w:color="000000" w:fill="D9E1F2"/>
            <w:vAlign w:val="center"/>
            <w:hideMark/>
          </w:tcPr>
          <w:p w14:paraId="5BFC781C"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9</w:t>
            </w:r>
          </w:p>
        </w:tc>
        <w:tc>
          <w:tcPr>
            <w:tcW w:w="492" w:type="pct"/>
            <w:tcBorders>
              <w:top w:val="nil"/>
              <w:left w:val="nil"/>
              <w:bottom w:val="double" w:sz="6" w:space="0" w:color="44546A"/>
              <w:right w:val="double" w:sz="6" w:space="0" w:color="44546A"/>
            </w:tcBorders>
            <w:shd w:val="clear" w:color="000000" w:fill="D9E1F2"/>
            <w:vAlign w:val="center"/>
            <w:hideMark/>
          </w:tcPr>
          <w:p w14:paraId="7F98AC8D" w14:textId="77777777" w:rsidR="00047538" w:rsidRPr="00EB031E" w:rsidRDefault="00047538" w:rsidP="00047538">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9</w:t>
            </w:r>
          </w:p>
        </w:tc>
      </w:tr>
      <w:tr w:rsidR="00EB031E" w:rsidRPr="00047538" w14:paraId="11930BC5" w14:textId="77777777" w:rsidTr="00EB031E">
        <w:trPr>
          <w:trHeight w:val="330"/>
        </w:trPr>
        <w:tc>
          <w:tcPr>
            <w:tcW w:w="1671" w:type="pct"/>
            <w:vMerge/>
            <w:tcBorders>
              <w:top w:val="nil"/>
              <w:left w:val="double" w:sz="6" w:space="0" w:color="44546A"/>
              <w:bottom w:val="double" w:sz="6" w:space="0" w:color="44546A"/>
              <w:right w:val="double" w:sz="6" w:space="0" w:color="44546A"/>
            </w:tcBorders>
            <w:vAlign w:val="center"/>
            <w:hideMark/>
          </w:tcPr>
          <w:p w14:paraId="3E5BB1C4" w14:textId="77777777" w:rsidR="00047538" w:rsidRPr="00EB031E" w:rsidRDefault="00047538" w:rsidP="00047538">
            <w:pPr>
              <w:spacing w:after="0" w:line="240" w:lineRule="auto"/>
              <w:rPr>
                <w:rFonts w:ascii="Book Antiqua" w:eastAsia="Times New Roman" w:hAnsi="Book Antiqua" w:cs="Calibri"/>
                <w:sz w:val="18"/>
                <w:szCs w:val="18"/>
                <w:lang w:eastAsia="es-CR"/>
              </w:rPr>
            </w:pPr>
          </w:p>
        </w:tc>
        <w:tc>
          <w:tcPr>
            <w:tcW w:w="501" w:type="pct"/>
            <w:tcBorders>
              <w:top w:val="nil"/>
              <w:left w:val="nil"/>
              <w:bottom w:val="double" w:sz="6" w:space="0" w:color="44546A"/>
              <w:right w:val="double" w:sz="6" w:space="0" w:color="44546A"/>
            </w:tcBorders>
            <w:shd w:val="clear" w:color="000000" w:fill="D9E1F2"/>
            <w:vAlign w:val="center"/>
            <w:hideMark/>
          </w:tcPr>
          <w:p w14:paraId="5EBF7EC6" w14:textId="77777777" w:rsidR="00047538" w:rsidRPr="00EB031E" w:rsidRDefault="00047538" w:rsidP="00047538">
            <w:pPr>
              <w:spacing w:after="0" w:line="240" w:lineRule="auto"/>
              <w:jc w:val="right"/>
              <w:rPr>
                <w:rFonts w:ascii="Book Antiqua" w:eastAsia="Times New Roman" w:hAnsi="Book Antiqua" w:cs="Calibri"/>
                <w:b/>
                <w:bCs/>
                <w:i/>
                <w:iCs/>
                <w:color w:val="000000"/>
                <w:sz w:val="18"/>
                <w:szCs w:val="18"/>
                <w:lang w:eastAsia="es-CR"/>
              </w:rPr>
            </w:pPr>
            <w:r w:rsidRPr="00EB031E">
              <w:rPr>
                <w:rFonts w:ascii="Book Antiqua" w:eastAsia="Times New Roman" w:hAnsi="Book Antiqua" w:cs="Calibri"/>
                <w:b/>
                <w:bCs/>
                <w:i/>
                <w:iCs/>
                <w:color w:val="000000"/>
                <w:sz w:val="18"/>
                <w:szCs w:val="18"/>
                <w:lang w:eastAsia="es-CR"/>
              </w:rPr>
              <w:t>Trabajo</w:t>
            </w:r>
          </w:p>
        </w:tc>
        <w:tc>
          <w:tcPr>
            <w:tcW w:w="300" w:type="pct"/>
            <w:vMerge/>
            <w:tcBorders>
              <w:top w:val="nil"/>
              <w:left w:val="double" w:sz="6" w:space="0" w:color="44546A"/>
              <w:bottom w:val="double" w:sz="6" w:space="0" w:color="44546A"/>
              <w:right w:val="double" w:sz="6" w:space="0" w:color="44546A"/>
            </w:tcBorders>
            <w:vAlign w:val="center"/>
            <w:hideMark/>
          </w:tcPr>
          <w:p w14:paraId="736F5236" w14:textId="77777777" w:rsidR="00047538" w:rsidRPr="00EB031E" w:rsidRDefault="00047538" w:rsidP="00047538">
            <w:pPr>
              <w:spacing w:after="0" w:line="240" w:lineRule="auto"/>
              <w:rPr>
                <w:rFonts w:ascii="Book Antiqua" w:eastAsia="Times New Roman" w:hAnsi="Book Antiqua" w:cs="Calibri"/>
                <w:b/>
                <w:bCs/>
                <w:color w:val="000000"/>
                <w:sz w:val="18"/>
                <w:szCs w:val="18"/>
                <w:lang w:eastAsia="es-CR"/>
              </w:rPr>
            </w:pPr>
          </w:p>
        </w:tc>
        <w:tc>
          <w:tcPr>
            <w:tcW w:w="491" w:type="pct"/>
            <w:tcBorders>
              <w:top w:val="nil"/>
              <w:left w:val="nil"/>
              <w:bottom w:val="double" w:sz="6" w:space="0" w:color="44546A"/>
              <w:right w:val="double" w:sz="6" w:space="0" w:color="44546A"/>
            </w:tcBorders>
            <w:shd w:val="clear" w:color="000000" w:fill="D9E1F2"/>
            <w:vAlign w:val="center"/>
            <w:hideMark/>
          </w:tcPr>
          <w:p w14:paraId="10B1CB1F"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22</w:t>
            </w:r>
          </w:p>
        </w:tc>
        <w:tc>
          <w:tcPr>
            <w:tcW w:w="563" w:type="pct"/>
            <w:tcBorders>
              <w:top w:val="nil"/>
              <w:left w:val="nil"/>
              <w:bottom w:val="double" w:sz="6" w:space="0" w:color="44546A"/>
              <w:right w:val="double" w:sz="6" w:space="0" w:color="44546A"/>
            </w:tcBorders>
            <w:shd w:val="clear" w:color="000000" w:fill="D9E1F2"/>
            <w:vAlign w:val="center"/>
            <w:hideMark/>
          </w:tcPr>
          <w:p w14:paraId="0FCA0E26"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46%</w:t>
            </w:r>
          </w:p>
        </w:tc>
        <w:tc>
          <w:tcPr>
            <w:tcW w:w="488" w:type="pct"/>
            <w:vMerge/>
            <w:tcBorders>
              <w:top w:val="nil"/>
              <w:left w:val="double" w:sz="6" w:space="0" w:color="44546A"/>
              <w:bottom w:val="double" w:sz="6" w:space="0" w:color="44546A"/>
              <w:right w:val="double" w:sz="6" w:space="0" w:color="44546A"/>
            </w:tcBorders>
            <w:vAlign w:val="center"/>
            <w:hideMark/>
          </w:tcPr>
          <w:p w14:paraId="558D8FE2" w14:textId="77777777" w:rsidR="00047538" w:rsidRPr="00EB031E" w:rsidRDefault="00047538" w:rsidP="00047538">
            <w:pPr>
              <w:spacing w:after="0" w:line="240" w:lineRule="auto"/>
              <w:rPr>
                <w:rFonts w:ascii="Book Antiqua" w:eastAsia="Times New Roman" w:hAnsi="Book Antiqua" w:cs="Calibri"/>
                <w:color w:val="000000"/>
                <w:sz w:val="18"/>
                <w:szCs w:val="18"/>
                <w:lang w:eastAsia="es-CR"/>
              </w:rPr>
            </w:pPr>
          </w:p>
        </w:tc>
        <w:tc>
          <w:tcPr>
            <w:tcW w:w="492" w:type="pct"/>
            <w:tcBorders>
              <w:top w:val="nil"/>
              <w:left w:val="nil"/>
              <w:bottom w:val="double" w:sz="6" w:space="0" w:color="44546A"/>
              <w:right w:val="double" w:sz="6" w:space="0" w:color="44546A"/>
            </w:tcBorders>
            <w:shd w:val="clear" w:color="000000" w:fill="D9E1F2"/>
            <w:vAlign w:val="center"/>
            <w:hideMark/>
          </w:tcPr>
          <w:p w14:paraId="32D5C744"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7</w:t>
            </w:r>
          </w:p>
        </w:tc>
        <w:tc>
          <w:tcPr>
            <w:tcW w:w="492" w:type="pct"/>
            <w:tcBorders>
              <w:top w:val="nil"/>
              <w:left w:val="nil"/>
              <w:bottom w:val="double" w:sz="6" w:space="0" w:color="44546A"/>
              <w:right w:val="double" w:sz="6" w:space="0" w:color="44546A"/>
            </w:tcBorders>
            <w:shd w:val="clear" w:color="000000" w:fill="D9E1F2"/>
            <w:vAlign w:val="center"/>
            <w:hideMark/>
          </w:tcPr>
          <w:p w14:paraId="4E4A4056" w14:textId="77777777" w:rsidR="00047538" w:rsidRPr="00EB031E" w:rsidRDefault="00047538" w:rsidP="00047538">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8</w:t>
            </w:r>
          </w:p>
        </w:tc>
      </w:tr>
      <w:tr w:rsidR="00EB031E" w:rsidRPr="00047538" w14:paraId="5A17ED1C" w14:textId="77777777" w:rsidTr="00EB031E">
        <w:trPr>
          <w:trHeight w:val="330"/>
        </w:trPr>
        <w:tc>
          <w:tcPr>
            <w:tcW w:w="1671" w:type="pct"/>
            <w:vMerge w:val="restart"/>
            <w:tcBorders>
              <w:top w:val="nil"/>
              <w:left w:val="double" w:sz="6" w:space="0" w:color="44546A"/>
              <w:bottom w:val="double" w:sz="6" w:space="0" w:color="44546A"/>
              <w:right w:val="double" w:sz="6" w:space="0" w:color="44546A"/>
            </w:tcBorders>
            <w:shd w:val="clear" w:color="auto" w:fill="auto"/>
            <w:noWrap/>
            <w:vAlign w:val="center"/>
            <w:hideMark/>
          </w:tcPr>
          <w:p w14:paraId="513746F4" w14:textId="77777777" w:rsidR="00047538" w:rsidRPr="00EB031E" w:rsidRDefault="00047538" w:rsidP="00047538">
            <w:pPr>
              <w:spacing w:after="0" w:line="240" w:lineRule="auto"/>
              <w:rPr>
                <w:rFonts w:ascii="Book Antiqua" w:eastAsia="Times New Roman" w:hAnsi="Book Antiqua" w:cs="Calibri"/>
                <w:sz w:val="18"/>
                <w:szCs w:val="18"/>
                <w:lang w:eastAsia="es-CR"/>
              </w:rPr>
            </w:pPr>
            <w:r w:rsidRPr="00EB031E">
              <w:rPr>
                <w:rFonts w:ascii="Book Antiqua" w:eastAsia="Times New Roman" w:hAnsi="Book Antiqua" w:cs="Calibri"/>
                <w:sz w:val="18"/>
                <w:szCs w:val="18"/>
                <w:lang w:eastAsia="es-CR"/>
              </w:rPr>
              <w:t xml:space="preserve">Tribunal de Puntarenas  </w:t>
            </w:r>
          </w:p>
        </w:tc>
        <w:tc>
          <w:tcPr>
            <w:tcW w:w="501" w:type="pct"/>
            <w:tcBorders>
              <w:top w:val="nil"/>
              <w:left w:val="nil"/>
              <w:bottom w:val="double" w:sz="6" w:space="0" w:color="44546A"/>
              <w:right w:val="double" w:sz="6" w:space="0" w:color="44546A"/>
            </w:tcBorders>
            <w:shd w:val="clear" w:color="auto" w:fill="auto"/>
            <w:vAlign w:val="center"/>
            <w:hideMark/>
          </w:tcPr>
          <w:p w14:paraId="50A9D5EE" w14:textId="77777777" w:rsidR="00047538" w:rsidRPr="00EB031E" w:rsidRDefault="00047538" w:rsidP="00047538">
            <w:pPr>
              <w:spacing w:after="0" w:line="240" w:lineRule="auto"/>
              <w:jc w:val="right"/>
              <w:rPr>
                <w:rFonts w:ascii="Book Antiqua" w:eastAsia="Times New Roman" w:hAnsi="Book Antiqua" w:cs="Calibri"/>
                <w:b/>
                <w:bCs/>
                <w:i/>
                <w:iCs/>
                <w:color w:val="000000"/>
                <w:sz w:val="18"/>
                <w:szCs w:val="18"/>
                <w:lang w:eastAsia="es-CR"/>
              </w:rPr>
            </w:pPr>
            <w:r w:rsidRPr="00EB031E">
              <w:rPr>
                <w:rFonts w:ascii="Book Antiqua" w:eastAsia="Times New Roman" w:hAnsi="Book Antiqua" w:cs="Calibri"/>
                <w:b/>
                <w:bCs/>
                <w:i/>
                <w:iCs/>
                <w:color w:val="000000"/>
                <w:sz w:val="18"/>
                <w:szCs w:val="18"/>
                <w:lang w:eastAsia="es-CR"/>
              </w:rPr>
              <w:t>Civil</w:t>
            </w:r>
          </w:p>
        </w:tc>
        <w:tc>
          <w:tcPr>
            <w:tcW w:w="300" w:type="pct"/>
            <w:vMerge w:val="restart"/>
            <w:tcBorders>
              <w:top w:val="nil"/>
              <w:left w:val="double" w:sz="6" w:space="0" w:color="44546A"/>
              <w:bottom w:val="double" w:sz="6" w:space="0" w:color="44546A"/>
              <w:right w:val="double" w:sz="6" w:space="0" w:color="44546A"/>
            </w:tcBorders>
            <w:shd w:val="clear" w:color="auto" w:fill="auto"/>
            <w:vAlign w:val="center"/>
            <w:hideMark/>
          </w:tcPr>
          <w:p w14:paraId="1E80FCC1" w14:textId="77777777" w:rsidR="00047538" w:rsidRPr="00EB031E" w:rsidRDefault="00047538" w:rsidP="00047538">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41</w:t>
            </w:r>
          </w:p>
        </w:tc>
        <w:tc>
          <w:tcPr>
            <w:tcW w:w="491" w:type="pct"/>
            <w:tcBorders>
              <w:top w:val="nil"/>
              <w:left w:val="nil"/>
              <w:bottom w:val="double" w:sz="6" w:space="0" w:color="44546A"/>
              <w:right w:val="double" w:sz="6" w:space="0" w:color="44546A"/>
            </w:tcBorders>
            <w:shd w:val="clear" w:color="auto" w:fill="auto"/>
            <w:vAlign w:val="center"/>
            <w:hideMark/>
          </w:tcPr>
          <w:p w14:paraId="556D442A"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22</w:t>
            </w:r>
          </w:p>
        </w:tc>
        <w:tc>
          <w:tcPr>
            <w:tcW w:w="563" w:type="pct"/>
            <w:tcBorders>
              <w:top w:val="nil"/>
              <w:left w:val="nil"/>
              <w:bottom w:val="double" w:sz="6" w:space="0" w:color="44546A"/>
              <w:right w:val="double" w:sz="6" w:space="0" w:color="44546A"/>
            </w:tcBorders>
            <w:shd w:val="clear" w:color="auto" w:fill="auto"/>
            <w:vAlign w:val="center"/>
            <w:hideMark/>
          </w:tcPr>
          <w:p w14:paraId="5BDCE71B"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53%</w:t>
            </w:r>
          </w:p>
        </w:tc>
        <w:tc>
          <w:tcPr>
            <w:tcW w:w="488" w:type="pct"/>
            <w:vMerge w:val="restart"/>
            <w:tcBorders>
              <w:top w:val="nil"/>
              <w:left w:val="double" w:sz="6" w:space="0" w:color="44546A"/>
              <w:bottom w:val="double" w:sz="6" w:space="0" w:color="44546A"/>
              <w:right w:val="double" w:sz="6" w:space="0" w:color="44546A"/>
            </w:tcBorders>
            <w:shd w:val="clear" w:color="auto" w:fill="auto"/>
            <w:vAlign w:val="center"/>
            <w:hideMark/>
          </w:tcPr>
          <w:p w14:paraId="449AED92"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w:t>
            </w:r>
          </w:p>
        </w:tc>
        <w:tc>
          <w:tcPr>
            <w:tcW w:w="492" w:type="pct"/>
            <w:tcBorders>
              <w:top w:val="nil"/>
              <w:left w:val="nil"/>
              <w:bottom w:val="double" w:sz="6" w:space="0" w:color="44546A"/>
              <w:right w:val="double" w:sz="6" w:space="0" w:color="44546A"/>
            </w:tcBorders>
            <w:shd w:val="clear" w:color="auto" w:fill="auto"/>
            <w:vAlign w:val="center"/>
            <w:hideMark/>
          </w:tcPr>
          <w:p w14:paraId="0698D010"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7</w:t>
            </w:r>
          </w:p>
        </w:tc>
        <w:tc>
          <w:tcPr>
            <w:tcW w:w="492" w:type="pct"/>
            <w:tcBorders>
              <w:top w:val="nil"/>
              <w:left w:val="nil"/>
              <w:bottom w:val="double" w:sz="6" w:space="0" w:color="44546A"/>
              <w:right w:val="double" w:sz="6" w:space="0" w:color="44546A"/>
            </w:tcBorders>
            <w:shd w:val="clear" w:color="auto" w:fill="auto"/>
            <w:vAlign w:val="center"/>
            <w:hideMark/>
          </w:tcPr>
          <w:p w14:paraId="2F729702" w14:textId="77777777" w:rsidR="00047538" w:rsidRPr="00EB031E" w:rsidRDefault="00047538" w:rsidP="00047538">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9</w:t>
            </w:r>
          </w:p>
        </w:tc>
      </w:tr>
      <w:tr w:rsidR="00EB031E" w:rsidRPr="00047538" w14:paraId="439CD16D" w14:textId="77777777" w:rsidTr="00EB031E">
        <w:trPr>
          <w:trHeight w:val="330"/>
        </w:trPr>
        <w:tc>
          <w:tcPr>
            <w:tcW w:w="1671" w:type="pct"/>
            <w:vMerge/>
            <w:tcBorders>
              <w:top w:val="nil"/>
              <w:left w:val="double" w:sz="6" w:space="0" w:color="44546A"/>
              <w:bottom w:val="double" w:sz="6" w:space="0" w:color="44546A"/>
              <w:right w:val="double" w:sz="6" w:space="0" w:color="44546A"/>
            </w:tcBorders>
            <w:shd w:val="clear" w:color="auto" w:fill="auto"/>
            <w:vAlign w:val="center"/>
            <w:hideMark/>
          </w:tcPr>
          <w:p w14:paraId="62F02CA7" w14:textId="77777777" w:rsidR="00047538" w:rsidRPr="00EB031E" w:rsidRDefault="00047538" w:rsidP="00047538">
            <w:pPr>
              <w:spacing w:after="0" w:line="240" w:lineRule="auto"/>
              <w:rPr>
                <w:rFonts w:ascii="Book Antiqua" w:eastAsia="Times New Roman" w:hAnsi="Book Antiqua" w:cs="Calibri"/>
                <w:sz w:val="18"/>
                <w:szCs w:val="18"/>
                <w:lang w:eastAsia="es-CR"/>
              </w:rPr>
            </w:pPr>
          </w:p>
        </w:tc>
        <w:tc>
          <w:tcPr>
            <w:tcW w:w="501" w:type="pct"/>
            <w:tcBorders>
              <w:top w:val="nil"/>
              <w:left w:val="nil"/>
              <w:bottom w:val="double" w:sz="6" w:space="0" w:color="44546A"/>
              <w:right w:val="double" w:sz="6" w:space="0" w:color="44546A"/>
            </w:tcBorders>
            <w:shd w:val="clear" w:color="auto" w:fill="auto"/>
            <w:vAlign w:val="center"/>
            <w:hideMark/>
          </w:tcPr>
          <w:p w14:paraId="32EDE892" w14:textId="77777777" w:rsidR="00047538" w:rsidRPr="00EB031E" w:rsidRDefault="00047538" w:rsidP="00047538">
            <w:pPr>
              <w:spacing w:after="0" w:line="240" w:lineRule="auto"/>
              <w:jc w:val="right"/>
              <w:rPr>
                <w:rFonts w:ascii="Book Antiqua" w:eastAsia="Times New Roman" w:hAnsi="Book Antiqua" w:cs="Calibri"/>
                <w:b/>
                <w:bCs/>
                <w:i/>
                <w:iCs/>
                <w:color w:val="000000"/>
                <w:sz w:val="18"/>
                <w:szCs w:val="18"/>
                <w:lang w:eastAsia="es-CR"/>
              </w:rPr>
            </w:pPr>
            <w:r w:rsidRPr="00EB031E">
              <w:rPr>
                <w:rFonts w:ascii="Book Antiqua" w:eastAsia="Times New Roman" w:hAnsi="Book Antiqua" w:cs="Calibri"/>
                <w:b/>
                <w:bCs/>
                <w:i/>
                <w:iCs/>
                <w:color w:val="000000"/>
                <w:sz w:val="18"/>
                <w:szCs w:val="18"/>
                <w:lang w:eastAsia="es-CR"/>
              </w:rPr>
              <w:t>Trabajo</w:t>
            </w:r>
          </w:p>
        </w:tc>
        <w:tc>
          <w:tcPr>
            <w:tcW w:w="300" w:type="pct"/>
            <w:vMerge/>
            <w:tcBorders>
              <w:top w:val="nil"/>
              <w:left w:val="double" w:sz="6" w:space="0" w:color="44546A"/>
              <w:bottom w:val="double" w:sz="6" w:space="0" w:color="44546A"/>
              <w:right w:val="double" w:sz="6" w:space="0" w:color="44546A"/>
            </w:tcBorders>
            <w:shd w:val="clear" w:color="auto" w:fill="auto"/>
            <w:vAlign w:val="center"/>
            <w:hideMark/>
          </w:tcPr>
          <w:p w14:paraId="6C000413" w14:textId="77777777" w:rsidR="00047538" w:rsidRPr="00EB031E" w:rsidRDefault="00047538" w:rsidP="00047538">
            <w:pPr>
              <w:spacing w:after="0" w:line="240" w:lineRule="auto"/>
              <w:rPr>
                <w:rFonts w:ascii="Book Antiqua" w:eastAsia="Times New Roman" w:hAnsi="Book Antiqua" w:cs="Calibri"/>
                <w:b/>
                <w:bCs/>
                <w:color w:val="000000"/>
                <w:sz w:val="18"/>
                <w:szCs w:val="18"/>
                <w:lang w:eastAsia="es-CR"/>
              </w:rPr>
            </w:pPr>
          </w:p>
        </w:tc>
        <w:tc>
          <w:tcPr>
            <w:tcW w:w="491" w:type="pct"/>
            <w:tcBorders>
              <w:top w:val="nil"/>
              <w:left w:val="nil"/>
              <w:bottom w:val="double" w:sz="6" w:space="0" w:color="44546A"/>
              <w:right w:val="double" w:sz="6" w:space="0" w:color="44546A"/>
            </w:tcBorders>
            <w:shd w:val="clear" w:color="auto" w:fill="auto"/>
            <w:vAlign w:val="center"/>
            <w:hideMark/>
          </w:tcPr>
          <w:p w14:paraId="57A94157"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20</w:t>
            </w:r>
          </w:p>
        </w:tc>
        <w:tc>
          <w:tcPr>
            <w:tcW w:w="563" w:type="pct"/>
            <w:tcBorders>
              <w:top w:val="nil"/>
              <w:left w:val="nil"/>
              <w:bottom w:val="double" w:sz="6" w:space="0" w:color="44546A"/>
              <w:right w:val="double" w:sz="6" w:space="0" w:color="44546A"/>
            </w:tcBorders>
            <w:shd w:val="clear" w:color="auto" w:fill="auto"/>
            <w:vAlign w:val="center"/>
            <w:hideMark/>
          </w:tcPr>
          <w:p w14:paraId="133C8AF0"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47%</w:t>
            </w:r>
          </w:p>
        </w:tc>
        <w:tc>
          <w:tcPr>
            <w:tcW w:w="488" w:type="pct"/>
            <w:vMerge/>
            <w:tcBorders>
              <w:top w:val="nil"/>
              <w:left w:val="double" w:sz="6" w:space="0" w:color="44546A"/>
              <w:bottom w:val="double" w:sz="6" w:space="0" w:color="44546A"/>
              <w:right w:val="double" w:sz="6" w:space="0" w:color="44546A"/>
            </w:tcBorders>
            <w:shd w:val="clear" w:color="auto" w:fill="auto"/>
            <w:vAlign w:val="center"/>
            <w:hideMark/>
          </w:tcPr>
          <w:p w14:paraId="14AAD4FC" w14:textId="77777777" w:rsidR="00047538" w:rsidRPr="00EB031E" w:rsidRDefault="00047538" w:rsidP="00047538">
            <w:pPr>
              <w:spacing w:after="0" w:line="240" w:lineRule="auto"/>
              <w:rPr>
                <w:rFonts w:ascii="Book Antiqua" w:eastAsia="Times New Roman" w:hAnsi="Book Antiqua" w:cs="Calibri"/>
                <w:color w:val="000000"/>
                <w:sz w:val="18"/>
                <w:szCs w:val="18"/>
                <w:lang w:eastAsia="es-CR"/>
              </w:rPr>
            </w:pPr>
          </w:p>
        </w:tc>
        <w:tc>
          <w:tcPr>
            <w:tcW w:w="492" w:type="pct"/>
            <w:tcBorders>
              <w:top w:val="nil"/>
              <w:left w:val="nil"/>
              <w:bottom w:val="double" w:sz="6" w:space="0" w:color="44546A"/>
              <w:right w:val="double" w:sz="6" w:space="0" w:color="44546A"/>
            </w:tcBorders>
            <w:shd w:val="clear" w:color="auto" w:fill="auto"/>
            <w:vAlign w:val="center"/>
            <w:hideMark/>
          </w:tcPr>
          <w:p w14:paraId="78B97912"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7</w:t>
            </w:r>
          </w:p>
        </w:tc>
        <w:tc>
          <w:tcPr>
            <w:tcW w:w="492" w:type="pct"/>
            <w:tcBorders>
              <w:top w:val="nil"/>
              <w:left w:val="nil"/>
              <w:bottom w:val="double" w:sz="6" w:space="0" w:color="44546A"/>
              <w:right w:val="double" w:sz="6" w:space="0" w:color="44546A"/>
            </w:tcBorders>
            <w:shd w:val="clear" w:color="auto" w:fill="auto"/>
            <w:vAlign w:val="center"/>
            <w:hideMark/>
          </w:tcPr>
          <w:p w14:paraId="7E66AA36" w14:textId="77777777" w:rsidR="00047538" w:rsidRPr="00EB031E" w:rsidRDefault="00047538" w:rsidP="00047538">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8</w:t>
            </w:r>
          </w:p>
        </w:tc>
      </w:tr>
      <w:tr w:rsidR="00952403" w:rsidRPr="00047538" w14:paraId="2CEC5114" w14:textId="77777777" w:rsidTr="00047538">
        <w:trPr>
          <w:trHeight w:val="330"/>
        </w:trPr>
        <w:tc>
          <w:tcPr>
            <w:tcW w:w="1671" w:type="pct"/>
            <w:vMerge w:val="restart"/>
            <w:tcBorders>
              <w:top w:val="nil"/>
              <w:left w:val="double" w:sz="6" w:space="0" w:color="44546A"/>
              <w:bottom w:val="double" w:sz="6" w:space="0" w:color="44546A"/>
              <w:right w:val="double" w:sz="6" w:space="0" w:color="44546A"/>
            </w:tcBorders>
            <w:shd w:val="clear" w:color="000000" w:fill="D9E1F2"/>
            <w:noWrap/>
            <w:vAlign w:val="center"/>
            <w:hideMark/>
          </w:tcPr>
          <w:p w14:paraId="721B2D85" w14:textId="77777777" w:rsidR="00047538" w:rsidRPr="00EB031E" w:rsidRDefault="00047538" w:rsidP="00047538">
            <w:pPr>
              <w:spacing w:after="0" w:line="240" w:lineRule="auto"/>
              <w:rPr>
                <w:rFonts w:ascii="Book Antiqua" w:eastAsia="Times New Roman" w:hAnsi="Book Antiqua" w:cs="Calibri"/>
                <w:sz w:val="18"/>
                <w:szCs w:val="18"/>
                <w:lang w:eastAsia="es-CR"/>
              </w:rPr>
            </w:pPr>
            <w:r w:rsidRPr="00EB031E">
              <w:rPr>
                <w:rFonts w:ascii="Book Antiqua" w:eastAsia="Times New Roman" w:hAnsi="Book Antiqua" w:cs="Calibri"/>
                <w:sz w:val="18"/>
                <w:szCs w:val="18"/>
                <w:lang w:eastAsia="es-CR"/>
              </w:rPr>
              <w:t xml:space="preserve">Tribunal Primer Circuito Judicial de la Zona Atlántica </w:t>
            </w:r>
          </w:p>
        </w:tc>
        <w:tc>
          <w:tcPr>
            <w:tcW w:w="501" w:type="pct"/>
            <w:tcBorders>
              <w:top w:val="nil"/>
              <w:left w:val="nil"/>
              <w:bottom w:val="double" w:sz="6" w:space="0" w:color="44546A"/>
              <w:right w:val="double" w:sz="6" w:space="0" w:color="44546A"/>
            </w:tcBorders>
            <w:shd w:val="clear" w:color="000000" w:fill="D9E1F2"/>
            <w:vAlign w:val="center"/>
            <w:hideMark/>
          </w:tcPr>
          <w:p w14:paraId="17AE28E0" w14:textId="77777777" w:rsidR="00047538" w:rsidRPr="00EB031E" w:rsidRDefault="00047538" w:rsidP="00047538">
            <w:pPr>
              <w:spacing w:after="0" w:line="240" w:lineRule="auto"/>
              <w:jc w:val="right"/>
              <w:rPr>
                <w:rFonts w:ascii="Book Antiqua" w:eastAsia="Times New Roman" w:hAnsi="Book Antiqua" w:cs="Calibri"/>
                <w:b/>
                <w:bCs/>
                <w:i/>
                <w:iCs/>
                <w:color w:val="000000"/>
                <w:sz w:val="18"/>
                <w:szCs w:val="18"/>
                <w:lang w:eastAsia="es-CR"/>
              </w:rPr>
            </w:pPr>
            <w:r w:rsidRPr="00EB031E">
              <w:rPr>
                <w:rFonts w:ascii="Book Antiqua" w:eastAsia="Times New Roman" w:hAnsi="Book Antiqua" w:cs="Calibri"/>
                <w:b/>
                <w:bCs/>
                <w:i/>
                <w:iCs/>
                <w:color w:val="000000"/>
                <w:sz w:val="18"/>
                <w:szCs w:val="18"/>
                <w:lang w:eastAsia="es-CR"/>
              </w:rPr>
              <w:t>Civil</w:t>
            </w:r>
          </w:p>
        </w:tc>
        <w:tc>
          <w:tcPr>
            <w:tcW w:w="300" w:type="pct"/>
            <w:vMerge w:val="restart"/>
            <w:tcBorders>
              <w:top w:val="nil"/>
              <w:left w:val="double" w:sz="6" w:space="0" w:color="44546A"/>
              <w:bottom w:val="double" w:sz="6" w:space="0" w:color="44546A"/>
              <w:right w:val="double" w:sz="6" w:space="0" w:color="44546A"/>
            </w:tcBorders>
            <w:shd w:val="clear" w:color="000000" w:fill="D9E1F2"/>
            <w:vAlign w:val="center"/>
            <w:hideMark/>
          </w:tcPr>
          <w:p w14:paraId="0F62E009" w14:textId="77777777" w:rsidR="00047538" w:rsidRPr="00EB031E" w:rsidRDefault="00047538" w:rsidP="00047538">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53</w:t>
            </w:r>
          </w:p>
        </w:tc>
        <w:tc>
          <w:tcPr>
            <w:tcW w:w="491" w:type="pct"/>
            <w:tcBorders>
              <w:top w:val="nil"/>
              <w:left w:val="nil"/>
              <w:bottom w:val="double" w:sz="6" w:space="0" w:color="44546A"/>
              <w:right w:val="double" w:sz="6" w:space="0" w:color="44546A"/>
            </w:tcBorders>
            <w:shd w:val="clear" w:color="000000" w:fill="D9E1F2"/>
            <w:vAlign w:val="center"/>
            <w:hideMark/>
          </w:tcPr>
          <w:p w14:paraId="5F3977C2"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23</w:t>
            </w:r>
          </w:p>
        </w:tc>
        <w:tc>
          <w:tcPr>
            <w:tcW w:w="563" w:type="pct"/>
            <w:tcBorders>
              <w:top w:val="nil"/>
              <w:left w:val="nil"/>
              <w:bottom w:val="double" w:sz="6" w:space="0" w:color="44546A"/>
              <w:right w:val="double" w:sz="6" w:space="0" w:color="44546A"/>
            </w:tcBorders>
            <w:shd w:val="clear" w:color="000000" w:fill="D9E1F2"/>
            <w:vAlign w:val="center"/>
            <w:hideMark/>
          </w:tcPr>
          <w:p w14:paraId="3AB43A0C"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44%</w:t>
            </w:r>
          </w:p>
        </w:tc>
        <w:tc>
          <w:tcPr>
            <w:tcW w:w="488" w:type="pct"/>
            <w:vMerge w:val="restart"/>
            <w:tcBorders>
              <w:top w:val="nil"/>
              <w:left w:val="double" w:sz="6" w:space="0" w:color="44546A"/>
              <w:bottom w:val="double" w:sz="6" w:space="0" w:color="44546A"/>
              <w:right w:val="double" w:sz="6" w:space="0" w:color="44546A"/>
            </w:tcBorders>
            <w:shd w:val="clear" w:color="000000" w:fill="D9E1F2"/>
            <w:vAlign w:val="center"/>
            <w:hideMark/>
          </w:tcPr>
          <w:p w14:paraId="2F23BFC4"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4</w:t>
            </w:r>
          </w:p>
        </w:tc>
        <w:tc>
          <w:tcPr>
            <w:tcW w:w="492" w:type="pct"/>
            <w:tcBorders>
              <w:top w:val="nil"/>
              <w:left w:val="nil"/>
              <w:bottom w:val="double" w:sz="6" w:space="0" w:color="44546A"/>
              <w:right w:val="double" w:sz="6" w:space="0" w:color="44546A"/>
            </w:tcBorders>
            <w:shd w:val="clear" w:color="000000" w:fill="D9E1F2"/>
            <w:vAlign w:val="center"/>
            <w:hideMark/>
          </w:tcPr>
          <w:p w14:paraId="0980A124"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w:t>
            </w:r>
          </w:p>
        </w:tc>
        <w:tc>
          <w:tcPr>
            <w:tcW w:w="492" w:type="pct"/>
            <w:tcBorders>
              <w:top w:val="nil"/>
              <w:left w:val="nil"/>
              <w:bottom w:val="double" w:sz="6" w:space="0" w:color="44546A"/>
              <w:right w:val="double" w:sz="6" w:space="0" w:color="44546A"/>
            </w:tcBorders>
            <w:shd w:val="clear" w:color="000000" w:fill="D9E1F2"/>
            <w:vAlign w:val="center"/>
            <w:hideMark/>
          </w:tcPr>
          <w:p w14:paraId="26B29AE0" w14:textId="77777777" w:rsidR="00047538" w:rsidRPr="00EB031E" w:rsidRDefault="00047538" w:rsidP="00047538">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8</w:t>
            </w:r>
          </w:p>
        </w:tc>
      </w:tr>
      <w:tr w:rsidR="00EB031E" w:rsidRPr="00047538" w14:paraId="7AEA5B1A" w14:textId="77777777" w:rsidTr="00EB031E">
        <w:trPr>
          <w:trHeight w:val="330"/>
        </w:trPr>
        <w:tc>
          <w:tcPr>
            <w:tcW w:w="1671" w:type="pct"/>
            <w:vMerge/>
            <w:tcBorders>
              <w:top w:val="nil"/>
              <w:left w:val="double" w:sz="6" w:space="0" w:color="44546A"/>
              <w:bottom w:val="double" w:sz="6" w:space="0" w:color="44546A"/>
              <w:right w:val="double" w:sz="6" w:space="0" w:color="44546A"/>
            </w:tcBorders>
            <w:vAlign w:val="center"/>
            <w:hideMark/>
          </w:tcPr>
          <w:p w14:paraId="00EF2D9B" w14:textId="77777777" w:rsidR="00047538" w:rsidRPr="00EB031E" w:rsidRDefault="00047538" w:rsidP="00047538">
            <w:pPr>
              <w:spacing w:after="0" w:line="240" w:lineRule="auto"/>
              <w:rPr>
                <w:rFonts w:ascii="Book Antiqua" w:eastAsia="Times New Roman" w:hAnsi="Book Antiqua" w:cs="Calibri"/>
                <w:sz w:val="18"/>
                <w:szCs w:val="18"/>
                <w:lang w:eastAsia="es-CR"/>
              </w:rPr>
            </w:pPr>
          </w:p>
        </w:tc>
        <w:tc>
          <w:tcPr>
            <w:tcW w:w="501" w:type="pct"/>
            <w:tcBorders>
              <w:top w:val="nil"/>
              <w:left w:val="nil"/>
              <w:bottom w:val="double" w:sz="6" w:space="0" w:color="44546A"/>
              <w:right w:val="double" w:sz="6" w:space="0" w:color="44546A"/>
            </w:tcBorders>
            <w:shd w:val="clear" w:color="000000" w:fill="D9E1F2"/>
            <w:vAlign w:val="center"/>
            <w:hideMark/>
          </w:tcPr>
          <w:p w14:paraId="72B555C4" w14:textId="77777777" w:rsidR="00047538" w:rsidRPr="00EB031E" w:rsidRDefault="00047538" w:rsidP="00047538">
            <w:pPr>
              <w:spacing w:after="0" w:line="240" w:lineRule="auto"/>
              <w:jc w:val="right"/>
              <w:rPr>
                <w:rFonts w:ascii="Book Antiqua" w:eastAsia="Times New Roman" w:hAnsi="Book Antiqua" w:cs="Calibri"/>
                <w:b/>
                <w:bCs/>
                <w:i/>
                <w:iCs/>
                <w:color w:val="000000"/>
                <w:sz w:val="18"/>
                <w:szCs w:val="18"/>
                <w:lang w:eastAsia="es-CR"/>
              </w:rPr>
            </w:pPr>
            <w:r w:rsidRPr="00EB031E">
              <w:rPr>
                <w:rFonts w:ascii="Book Antiqua" w:eastAsia="Times New Roman" w:hAnsi="Book Antiqua" w:cs="Calibri"/>
                <w:b/>
                <w:bCs/>
                <w:i/>
                <w:iCs/>
                <w:color w:val="000000"/>
                <w:sz w:val="18"/>
                <w:szCs w:val="18"/>
                <w:lang w:eastAsia="es-CR"/>
              </w:rPr>
              <w:t>Trabajo</w:t>
            </w:r>
          </w:p>
        </w:tc>
        <w:tc>
          <w:tcPr>
            <w:tcW w:w="300" w:type="pct"/>
            <w:vMerge/>
            <w:tcBorders>
              <w:top w:val="nil"/>
              <w:left w:val="double" w:sz="6" w:space="0" w:color="44546A"/>
              <w:bottom w:val="double" w:sz="6" w:space="0" w:color="44546A"/>
              <w:right w:val="double" w:sz="6" w:space="0" w:color="44546A"/>
            </w:tcBorders>
            <w:vAlign w:val="center"/>
            <w:hideMark/>
          </w:tcPr>
          <w:p w14:paraId="31A844D4" w14:textId="77777777" w:rsidR="00047538" w:rsidRPr="00EB031E" w:rsidRDefault="00047538" w:rsidP="00047538">
            <w:pPr>
              <w:spacing w:after="0" w:line="240" w:lineRule="auto"/>
              <w:rPr>
                <w:rFonts w:ascii="Book Antiqua" w:eastAsia="Times New Roman" w:hAnsi="Book Antiqua" w:cs="Calibri"/>
                <w:b/>
                <w:bCs/>
                <w:color w:val="000000"/>
                <w:sz w:val="18"/>
                <w:szCs w:val="18"/>
                <w:lang w:eastAsia="es-CR"/>
              </w:rPr>
            </w:pPr>
          </w:p>
        </w:tc>
        <w:tc>
          <w:tcPr>
            <w:tcW w:w="491" w:type="pct"/>
            <w:tcBorders>
              <w:top w:val="nil"/>
              <w:left w:val="nil"/>
              <w:bottom w:val="double" w:sz="6" w:space="0" w:color="44546A"/>
              <w:right w:val="double" w:sz="6" w:space="0" w:color="44546A"/>
            </w:tcBorders>
            <w:shd w:val="clear" w:color="000000" w:fill="D9E1F2"/>
            <w:vAlign w:val="center"/>
            <w:hideMark/>
          </w:tcPr>
          <w:p w14:paraId="1F654B5D"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30</w:t>
            </w:r>
          </w:p>
        </w:tc>
        <w:tc>
          <w:tcPr>
            <w:tcW w:w="563" w:type="pct"/>
            <w:tcBorders>
              <w:top w:val="nil"/>
              <w:left w:val="nil"/>
              <w:bottom w:val="double" w:sz="6" w:space="0" w:color="44546A"/>
              <w:right w:val="double" w:sz="6" w:space="0" w:color="44546A"/>
            </w:tcBorders>
            <w:shd w:val="clear" w:color="000000" w:fill="D9E1F2"/>
            <w:vAlign w:val="center"/>
            <w:hideMark/>
          </w:tcPr>
          <w:p w14:paraId="0C08FA2B"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56%</w:t>
            </w:r>
          </w:p>
        </w:tc>
        <w:tc>
          <w:tcPr>
            <w:tcW w:w="488" w:type="pct"/>
            <w:vMerge/>
            <w:tcBorders>
              <w:top w:val="nil"/>
              <w:left w:val="double" w:sz="6" w:space="0" w:color="44546A"/>
              <w:bottom w:val="double" w:sz="6" w:space="0" w:color="44546A"/>
              <w:right w:val="double" w:sz="6" w:space="0" w:color="44546A"/>
            </w:tcBorders>
            <w:vAlign w:val="center"/>
            <w:hideMark/>
          </w:tcPr>
          <w:p w14:paraId="4F71ECC2" w14:textId="77777777" w:rsidR="00047538" w:rsidRPr="00EB031E" w:rsidRDefault="00047538" w:rsidP="00047538">
            <w:pPr>
              <w:spacing w:after="0" w:line="240" w:lineRule="auto"/>
              <w:rPr>
                <w:rFonts w:ascii="Book Antiqua" w:eastAsia="Times New Roman" w:hAnsi="Book Antiqua" w:cs="Calibri"/>
                <w:color w:val="000000"/>
                <w:sz w:val="18"/>
                <w:szCs w:val="18"/>
                <w:lang w:eastAsia="es-CR"/>
              </w:rPr>
            </w:pPr>
          </w:p>
        </w:tc>
        <w:tc>
          <w:tcPr>
            <w:tcW w:w="492" w:type="pct"/>
            <w:tcBorders>
              <w:top w:val="nil"/>
              <w:left w:val="nil"/>
              <w:bottom w:val="double" w:sz="6" w:space="0" w:color="44546A"/>
              <w:right w:val="double" w:sz="6" w:space="0" w:color="44546A"/>
            </w:tcBorders>
            <w:shd w:val="clear" w:color="000000" w:fill="D9E1F2"/>
            <w:vAlign w:val="center"/>
            <w:hideMark/>
          </w:tcPr>
          <w:p w14:paraId="60949D99" w14:textId="77777777" w:rsidR="00047538" w:rsidRPr="00EB031E" w:rsidRDefault="00047538" w:rsidP="00047538">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7</w:t>
            </w:r>
          </w:p>
        </w:tc>
        <w:tc>
          <w:tcPr>
            <w:tcW w:w="492" w:type="pct"/>
            <w:tcBorders>
              <w:top w:val="nil"/>
              <w:left w:val="nil"/>
              <w:bottom w:val="double" w:sz="6" w:space="0" w:color="44546A"/>
              <w:right w:val="double" w:sz="6" w:space="0" w:color="44546A"/>
            </w:tcBorders>
            <w:shd w:val="clear" w:color="000000" w:fill="D9E1F2"/>
            <w:vAlign w:val="center"/>
            <w:hideMark/>
          </w:tcPr>
          <w:p w14:paraId="406EEF97" w14:textId="77777777" w:rsidR="00047538" w:rsidRPr="00EB031E" w:rsidRDefault="00047538" w:rsidP="00047538">
            <w:pPr>
              <w:spacing w:after="0" w:line="240" w:lineRule="auto"/>
              <w:jc w:val="center"/>
              <w:rPr>
                <w:rFonts w:ascii="Book Antiqua" w:eastAsia="Times New Roman" w:hAnsi="Book Antiqua" w:cs="Calibri"/>
                <w:b/>
                <w:bCs/>
                <w:color w:val="000000"/>
                <w:sz w:val="18"/>
                <w:szCs w:val="18"/>
                <w:lang w:eastAsia="es-CR"/>
              </w:rPr>
            </w:pPr>
            <w:r w:rsidRPr="00EB031E">
              <w:rPr>
                <w:rFonts w:ascii="Book Antiqua" w:eastAsia="Times New Roman" w:hAnsi="Book Antiqua" w:cs="Calibri"/>
                <w:b/>
                <w:bCs/>
                <w:color w:val="000000"/>
                <w:sz w:val="18"/>
                <w:szCs w:val="18"/>
                <w:lang w:eastAsia="es-CR"/>
              </w:rPr>
              <w:t>9</w:t>
            </w:r>
          </w:p>
        </w:tc>
      </w:tr>
    </w:tbl>
    <w:p w14:paraId="093A6F5E" w14:textId="26A906BD" w:rsidR="00796D77" w:rsidRPr="00AA7F64" w:rsidRDefault="00796D77" w:rsidP="00AA7F64">
      <w:pPr>
        <w:rPr>
          <w:rFonts w:ascii="Book Antiqua" w:hAnsi="Book Antiqua"/>
          <w:bCs/>
          <w:iCs/>
          <w:lang w:eastAsia="x-none"/>
        </w:rPr>
      </w:pPr>
      <w:r w:rsidRPr="00410ED4">
        <w:rPr>
          <w:rFonts w:ascii="Book Antiqua" w:hAnsi="Book Antiqua"/>
          <w:b/>
          <w:i/>
          <w:sz w:val="20"/>
        </w:rPr>
        <w:t xml:space="preserve">Fuente: </w:t>
      </w:r>
      <w:r w:rsidRPr="00EB031E">
        <w:rPr>
          <w:rFonts w:ascii="Book Antiqua" w:hAnsi="Book Antiqua"/>
          <w:bCs/>
          <w:i/>
          <w:sz w:val="20"/>
        </w:rPr>
        <w:t>Elaboración propia con base en datos del sistema SIGMA y Anuarios Judiciales, Subproceso de Modernización</w:t>
      </w:r>
    </w:p>
    <w:p w14:paraId="30B60FBA" w14:textId="77777777" w:rsidR="00367B1E" w:rsidRDefault="00367B1E" w:rsidP="00796D77">
      <w:pPr>
        <w:spacing w:line="276" w:lineRule="auto"/>
        <w:jc w:val="both"/>
        <w:rPr>
          <w:rFonts w:ascii="Book Antiqua" w:hAnsi="Book Antiqua"/>
        </w:rPr>
      </w:pPr>
    </w:p>
    <w:p w14:paraId="21CF10DD" w14:textId="42CC3FBD" w:rsidR="00796D77" w:rsidRDefault="009D7330" w:rsidP="00796D77">
      <w:pPr>
        <w:spacing w:line="276" w:lineRule="auto"/>
        <w:jc w:val="both"/>
        <w:rPr>
          <w:rFonts w:ascii="Book Antiqua" w:hAnsi="Book Antiqua"/>
        </w:rPr>
      </w:pPr>
      <w:r>
        <w:rPr>
          <w:rFonts w:ascii="Book Antiqua" w:hAnsi="Book Antiqua"/>
        </w:rPr>
        <w:t>L</w:t>
      </w:r>
      <w:r w:rsidR="00796D77" w:rsidRPr="00AE1334">
        <w:rPr>
          <w:rFonts w:ascii="Book Antiqua" w:hAnsi="Book Antiqua"/>
        </w:rPr>
        <w:t xml:space="preserve">a </w:t>
      </w:r>
      <w:r>
        <w:rPr>
          <w:rFonts w:ascii="Book Antiqua" w:hAnsi="Book Antiqua"/>
        </w:rPr>
        <w:t>cuota</w:t>
      </w:r>
      <w:r w:rsidR="00796D77" w:rsidRPr="00AE1334">
        <w:rPr>
          <w:rFonts w:ascii="Book Antiqua" w:hAnsi="Book Antiqua"/>
        </w:rPr>
        <w:t xml:space="preserve"> de trabajo para las personas juzgadoras del Tribunal de Apelaciones Civil y Trabajo </w:t>
      </w:r>
      <w:r w:rsidR="0088594F">
        <w:rPr>
          <w:rFonts w:ascii="Book Antiqua" w:eastAsia="Times New Roman" w:hAnsi="Book Antiqua" w:cs="Times New Roman"/>
          <w:color w:val="000000"/>
          <w:lang w:eastAsia="es-CR"/>
        </w:rPr>
        <w:t>de la Zona Sur (Pérez Zeledón)</w:t>
      </w:r>
      <w:r w:rsidR="006E24CB">
        <w:rPr>
          <w:rFonts w:ascii="Book Antiqua" w:eastAsia="Times New Roman" w:hAnsi="Book Antiqua" w:cs="Times New Roman"/>
          <w:color w:val="000000"/>
          <w:lang w:eastAsia="es-CR"/>
        </w:rPr>
        <w:t xml:space="preserve"> </w:t>
      </w:r>
      <w:r w:rsidR="00796D77" w:rsidRPr="00AE1334">
        <w:rPr>
          <w:rFonts w:ascii="Book Antiqua" w:hAnsi="Book Antiqua"/>
        </w:rPr>
        <w:t xml:space="preserve">de será de </w:t>
      </w:r>
      <w:r w:rsidR="00AC76DE">
        <w:rPr>
          <w:rFonts w:ascii="Book Antiqua" w:hAnsi="Book Antiqua"/>
        </w:rPr>
        <w:t>1</w:t>
      </w:r>
      <w:r>
        <w:rPr>
          <w:rFonts w:ascii="Book Antiqua" w:hAnsi="Book Antiqua"/>
        </w:rPr>
        <w:t>7</w:t>
      </w:r>
      <w:r w:rsidR="00796D77" w:rsidRPr="00AE1334">
        <w:rPr>
          <w:rFonts w:ascii="Book Antiqua" w:hAnsi="Book Antiqua"/>
        </w:rPr>
        <w:t xml:space="preserve"> </w:t>
      </w:r>
      <w:r w:rsidR="00796D77" w:rsidRPr="00C25285">
        <w:rPr>
          <w:rFonts w:ascii="Book Antiqua" w:hAnsi="Book Antiqua"/>
        </w:rPr>
        <w:t xml:space="preserve">casos, lo cual representa </w:t>
      </w:r>
      <w:r w:rsidR="00796D77">
        <w:rPr>
          <w:rFonts w:ascii="Book Antiqua" w:hAnsi="Book Antiqua"/>
        </w:rPr>
        <w:t>o</w:t>
      </w:r>
      <w:r w:rsidR="00AC76DE">
        <w:rPr>
          <w:rFonts w:ascii="Book Antiqua" w:hAnsi="Book Antiqua"/>
        </w:rPr>
        <w:t>nce</w:t>
      </w:r>
      <w:r w:rsidR="00796D77">
        <w:rPr>
          <w:rFonts w:ascii="Book Antiqua" w:hAnsi="Book Antiqua"/>
        </w:rPr>
        <w:t xml:space="preserve"> </w:t>
      </w:r>
      <w:r w:rsidR="00796D77" w:rsidRPr="00C25285">
        <w:rPr>
          <w:rFonts w:ascii="Book Antiqua" w:hAnsi="Book Antiqua"/>
        </w:rPr>
        <w:t xml:space="preserve">asuntos en materia Civil y seis asuntos en materia de Trabajo. </w:t>
      </w:r>
    </w:p>
    <w:p w14:paraId="6D2AED2A" w14:textId="2A13DB4B" w:rsidR="009D7330" w:rsidRDefault="00796D77" w:rsidP="00F8758B">
      <w:pPr>
        <w:spacing w:line="276" w:lineRule="auto"/>
        <w:jc w:val="both"/>
        <w:rPr>
          <w:rFonts w:ascii="Book Antiqua" w:hAnsi="Book Antiqua"/>
        </w:rPr>
      </w:pPr>
      <w:r w:rsidRPr="00AE1334">
        <w:rPr>
          <w:rFonts w:ascii="Book Antiqua" w:hAnsi="Book Antiqua"/>
        </w:rPr>
        <w:t>Por otro lado,</w:t>
      </w:r>
      <w:r w:rsidR="00C67E4B">
        <w:rPr>
          <w:rFonts w:ascii="Book Antiqua" w:hAnsi="Book Antiqua"/>
        </w:rPr>
        <w:t xml:space="preserve"> con relación a la solicitud de especialización por materia del Tribunal de Apelación Civil y Laboral de Alajuela</w:t>
      </w:r>
      <w:r w:rsidR="009D7330">
        <w:rPr>
          <w:rFonts w:ascii="Book Antiqua" w:hAnsi="Book Antiqua"/>
        </w:rPr>
        <w:t xml:space="preserve"> indicada en el oficio </w:t>
      </w:r>
      <w:r w:rsidR="00A4251B">
        <w:rPr>
          <w:rFonts w:ascii="Book Antiqua" w:hAnsi="Book Antiqua"/>
        </w:rPr>
        <w:t>6634-18, a</w:t>
      </w:r>
      <w:r w:rsidR="00A4251B" w:rsidRPr="00A81E9F">
        <w:rPr>
          <w:rFonts w:ascii="Book Antiqua" w:hAnsi="Book Antiqua"/>
        </w:rPr>
        <w:t xml:space="preserve">cuerdo tomado por el Consejo Superior del Poder Judicial, en la sesión </w:t>
      </w:r>
      <w:r w:rsidR="00A4251B" w:rsidRPr="00A81E9F">
        <w:rPr>
          <w:rFonts w:ascii="Book Antiqua" w:hAnsi="Book Antiqua"/>
          <w:b/>
          <w:bCs/>
        </w:rPr>
        <w:t xml:space="preserve">N° 58-18 </w:t>
      </w:r>
      <w:r w:rsidR="00A4251B" w:rsidRPr="00A81E9F">
        <w:rPr>
          <w:rFonts w:ascii="Book Antiqua" w:hAnsi="Book Antiqua"/>
          <w:bCs/>
        </w:rPr>
        <w:t>c</w:t>
      </w:r>
      <w:r w:rsidR="00A4251B" w:rsidRPr="00A81E9F">
        <w:rPr>
          <w:rFonts w:ascii="Book Antiqua" w:hAnsi="Book Antiqua"/>
        </w:rPr>
        <w:t xml:space="preserve">elebrada el </w:t>
      </w:r>
      <w:r w:rsidR="00A4251B" w:rsidRPr="00A81E9F">
        <w:rPr>
          <w:rFonts w:ascii="Book Antiqua" w:hAnsi="Book Antiqua"/>
          <w:b/>
        </w:rPr>
        <w:t>28</w:t>
      </w:r>
      <w:r w:rsidR="00A4251B" w:rsidRPr="00A81E9F">
        <w:rPr>
          <w:rFonts w:ascii="Book Antiqua" w:hAnsi="Book Antiqua"/>
          <w:b/>
          <w:bCs/>
        </w:rPr>
        <w:t xml:space="preserve"> de junio del 2018, artículo L</w:t>
      </w:r>
      <w:r w:rsidR="00A4251B">
        <w:rPr>
          <w:rFonts w:ascii="Book Antiqua" w:hAnsi="Book Antiqua"/>
        </w:rPr>
        <w:t xml:space="preserve"> </w:t>
      </w:r>
      <w:r w:rsidR="009D7330">
        <w:rPr>
          <w:rFonts w:ascii="Book Antiqua" w:hAnsi="Book Antiqua"/>
        </w:rPr>
        <w:t>:</w:t>
      </w:r>
    </w:p>
    <w:p w14:paraId="5A9FC36F" w14:textId="538612C8" w:rsidR="009D7330" w:rsidRDefault="00A4251B" w:rsidP="00A4251B">
      <w:pPr>
        <w:spacing w:line="276" w:lineRule="auto"/>
        <w:ind w:left="567" w:right="616"/>
        <w:jc w:val="both"/>
        <w:rPr>
          <w:rFonts w:ascii="Book Antiqua" w:hAnsi="Book Antiqua"/>
        </w:rPr>
      </w:pPr>
      <w:r>
        <w:rPr>
          <w:rFonts w:ascii="Book Antiqua" w:hAnsi="Book Antiqua"/>
        </w:rPr>
        <w:t>“</w:t>
      </w:r>
      <w:r w:rsidRPr="001852A1">
        <w:rPr>
          <w:rFonts w:ascii="Book Antiqua" w:hAnsi="Book Antiqua"/>
          <w:b/>
          <w:i/>
          <w:iCs/>
        </w:rPr>
        <w:t xml:space="preserve">F.1.d.) </w:t>
      </w:r>
      <w:r w:rsidRPr="009E5E7D">
        <w:rPr>
          <w:rFonts w:ascii="Book Antiqua" w:hAnsi="Book Antiqua"/>
          <w:i/>
          <w:iCs/>
        </w:rPr>
        <w:t>Deberá</w:t>
      </w:r>
      <w:r w:rsidRPr="009E5E7D">
        <w:rPr>
          <w:rFonts w:ascii="Book Antiqua" w:hAnsi="Book Antiqua"/>
          <w:b/>
          <w:i/>
          <w:iCs/>
        </w:rPr>
        <w:t xml:space="preserve"> </w:t>
      </w:r>
      <w:r w:rsidRPr="001852A1">
        <w:rPr>
          <w:rFonts w:ascii="Book Antiqua" w:hAnsi="Book Antiqua"/>
          <w:i/>
          <w:iCs/>
        </w:rPr>
        <w:t>estudiar las posibilidades de especializar por materia (civil y trabajo) al Tribunal de Apelaciones Civil y Trabajo de Alajuela</w:t>
      </w:r>
      <w:r w:rsidRPr="00D611CE">
        <w:rPr>
          <w:rFonts w:ascii="Book Antiqua" w:hAnsi="Book Antiqua"/>
          <w:i/>
          <w:iCs/>
        </w:rPr>
        <w:t>…”</w:t>
      </w:r>
      <w:r w:rsidR="00367B1E">
        <w:rPr>
          <w:rFonts w:ascii="Book Antiqua" w:hAnsi="Book Antiqua"/>
          <w:i/>
          <w:iCs/>
        </w:rPr>
        <w:t>.</w:t>
      </w:r>
    </w:p>
    <w:p w14:paraId="4E721AA1" w14:textId="3849E1D2" w:rsidR="00093E44" w:rsidRDefault="00A4251B" w:rsidP="00F8758B">
      <w:pPr>
        <w:spacing w:line="276" w:lineRule="auto"/>
        <w:jc w:val="both"/>
        <w:rPr>
          <w:rFonts w:ascii="Book Antiqua" w:hAnsi="Book Antiqua"/>
        </w:rPr>
      </w:pPr>
      <w:r w:rsidRPr="00EB031E">
        <w:rPr>
          <w:rFonts w:ascii="Book Antiqua" w:hAnsi="Book Antiqua"/>
          <w:b/>
          <w:bCs/>
          <w:u w:val="single"/>
        </w:rPr>
        <w:t>Se determina que</w:t>
      </w:r>
      <w:r w:rsidR="00C67E4B" w:rsidRPr="00EB031E" w:rsidDel="00A4251B">
        <w:rPr>
          <w:rFonts w:ascii="Book Antiqua" w:hAnsi="Book Antiqua"/>
          <w:b/>
          <w:bCs/>
          <w:u w:val="single"/>
        </w:rPr>
        <w:t xml:space="preserve"> </w:t>
      </w:r>
      <w:r w:rsidR="00796D77" w:rsidRPr="00EB031E">
        <w:rPr>
          <w:rFonts w:ascii="Book Antiqua" w:hAnsi="Book Antiqua"/>
          <w:b/>
          <w:bCs/>
          <w:u w:val="single"/>
        </w:rPr>
        <w:t>no se podría justificar</w:t>
      </w:r>
      <w:r w:rsidRPr="00EB031E">
        <w:rPr>
          <w:rFonts w:ascii="Book Antiqua" w:hAnsi="Book Antiqua"/>
          <w:b/>
          <w:bCs/>
          <w:u w:val="single"/>
        </w:rPr>
        <w:t xml:space="preserve"> dicha especialización</w:t>
      </w:r>
      <w:r>
        <w:rPr>
          <w:rFonts w:ascii="Book Antiqua" w:hAnsi="Book Antiqua"/>
        </w:rPr>
        <w:t xml:space="preserve">; </w:t>
      </w:r>
      <w:r w:rsidR="00796D77" w:rsidRPr="00AE1334">
        <w:rPr>
          <w:rFonts w:ascii="Book Antiqua" w:hAnsi="Book Antiqua"/>
        </w:rPr>
        <w:t xml:space="preserve"> </w:t>
      </w:r>
      <w:r w:rsidR="00C67E4B">
        <w:rPr>
          <w:rFonts w:ascii="Book Antiqua" w:hAnsi="Book Antiqua"/>
        </w:rPr>
        <w:t>debido a que</w:t>
      </w:r>
      <w:r w:rsidR="00796D77" w:rsidRPr="00AE1334">
        <w:rPr>
          <w:rFonts w:ascii="Book Antiqua" w:hAnsi="Book Antiqua"/>
        </w:rPr>
        <w:t xml:space="preserve"> entrada varía entre una materia y otra, </w:t>
      </w:r>
      <w:r w:rsidR="00C67E4B">
        <w:rPr>
          <w:rFonts w:ascii="Book Antiqua" w:hAnsi="Book Antiqua"/>
        </w:rPr>
        <w:t xml:space="preserve">en el caso de material Civil corresponde a un promedio del </w:t>
      </w:r>
      <w:r w:rsidR="006062CE">
        <w:rPr>
          <w:rFonts w:ascii="Book Antiqua" w:hAnsi="Book Antiqua"/>
        </w:rPr>
        <w:t>6</w:t>
      </w:r>
      <w:r w:rsidR="00463182">
        <w:rPr>
          <w:rFonts w:ascii="Book Antiqua" w:hAnsi="Book Antiqua"/>
        </w:rPr>
        <w:t>5</w:t>
      </w:r>
      <w:r w:rsidR="00C67E4B">
        <w:rPr>
          <w:rFonts w:ascii="Book Antiqua" w:hAnsi="Book Antiqua"/>
        </w:rPr>
        <w:t xml:space="preserve">% que corresponde a </w:t>
      </w:r>
      <w:r w:rsidR="00463182">
        <w:rPr>
          <w:rFonts w:ascii="Book Antiqua" w:hAnsi="Book Antiqua"/>
        </w:rPr>
        <w:t xml:space="preserve">94 </w:t>
      </w:r>
      <w:r w:rsidR="00C67E4B">
        <w:rPr>
          <w:rFonts w:ascii="Book Antiqua" w:hAnsi="Book Antiqua"/>
        </w:rPr>
        <w:t xml:space="preserve">asuntos mensuales, mientras que para material </w:t>
      </w:r>
      <w:r w:rsidR="005F6403">
        <w:rPr>
          <w:rFonts w:ascii="Book Antiqua" w:hAnsi="Book Antiqua"/>
        </w:rPr>
        <w:t xml:space="preserve">de Trabajo </w:t>
      </w:r>
      <w:r w:rsidR="00C67E4B">
        <w:rPr>
          <w:rFonts w:ascii="Book Antiqua" w:hAnsi="Book Antiqua"/>
        </w:rPr>
        <w:t xml:space="preserve">ingresa el </w:t>
      </w:r>
      <w:r w:rsidR="00463182">
        <w:rPr>
          <w:rFonts w:ascii="Book Antiqua" w:hAnsi="Book Antiqua"/>
        </w:rPr>
        <w:t>35</w:t>
      </w:r>
      <w:r w:rsidR="00C67E4B">
        <w:rPr>
          <w:rFonts w:ascii="Book Antiqua" w:hAnsi="Book Antiqua"/>
        </w:rPr>
        <w:t xml:space="preserve">% que corresponde a </w:t>
      </w:r>
      <w:r w:rsidR="00463182">
        <w:rPr>
          <w:rFonts w:ascii="Book Antiqua" w:hAnsi="Book Antiqua"/>
        </w:rPr>
        <w:t xml:space="preserve">50 </w:t>
      </w:r>
      <w:r w:rsidR="00C67E4B">
        <w:rPr>
          <w:rFonts w:ascii="Book Antiqua" w:hAnsi="Book Antiqua"/>
        </w:rPr>
        <w:t xml:space="preserve">asuntos, 44 asuntos menos que la materia Civil, </w:t>
      </w:r>
      <w:r w:rsidR="00796D77" w:rsidRPr="00AE1334">
        <w:rPr>
          <w:rFonts w:ascii="Book Antiqua" w:hAnsi="Book Antiqua"/>
        </w:rPr>
        <w:t xml:space="preserve">por lo que, en busca de equilibrar las cargas de trabajo, </w:t>
      </w:r>
      <w:r w:rsidR="00C67E4B">
        <w:rPr>
          <w:rFonts w:ascii="Book Antiqua" w:hAnsi="Book Antiqua"/>
        </w:rPr>
        <w:t>el criterio de la Dirección de Planifi</w:t>
      </w:r>
      <w:r w:rsidR="008A68EB">
        <w:rPr>
          <w:rFonts w:ascii="Book Antiqua" w:hAnsi="Book Antiqua"/>
        </w:rPr>
        <w:t>c</w:t>
      </w:r>
      <w:r w:rsidR="00C67E4B">
        <w:rPr>
          <w:rFonts w:ascii="Book Antiqua" w:hAnsi="Book Antiqua"/>
        </w:rPr>
        <w:t xml:space="preserve">ación es que </w:t>
      </w:r>
      <w:r w:rsidR="00796D77" w:rsidRPr="00AE1334">
        <w:rPr>
          <w:rFonts w:ascii="Book Antiqua" w:hAnsi="Book Antiqua"/>
        </w:rPr>
        <w:t>las Juezas y Jueces de cada Despacho deben conocer ambas materias por igual.</w:t>
      </w:r>
      <w:r w:rsidR="00627219">
        <w:rPr>
          <w:rFonts w:ascii="Book Antiqua" w:hAnsi="Book Antiqua"/>
        </w:rPr>
        <w:t xml:space="preserve"> En caso de generar una división a lo interno, una sección sería responsable del</w:t>
      </w:r>
      <w:r w:rsidR="008E5A49">
        <w:rPr>
          <w:rFonts w:ascii="Book Antiqua" w:hAnsi="Book Antiqua"/>
        </w:rPr>
        <w:t xml:space="preserve"> 6</w:t>
      </w:r>
      <w:r w:rsidR="00463182">
        <w:rPr>
          <w:rFonts w:ascii="Book Antiqua" w:hAnsi="Book Antiqua"/>
        </w:rPr>
        <w:t>5</w:t>
      </w:r>
      <w:r w:rsidR="008E5A49">
        <w:rPr>
          <w:rFonts w:ascii="Book Antiqua" w:hAnsi="Book Antiqua"/>
        </w:rPr>
        <w:t>% y la otra sección responsable del 3</w:t>
      </w:r>
      <w:r w:rsidR="00463182">
        <w:rPr>
          <w:rFonts w:ascii="Book Antiqua" w:hAnsi="Book Antiqua"/>
        </w:rPr>
        <w:t>5</w:t>
      </w:r>
      <w:r w:rsidR="008E5A49">
        <w:rPr>
          <w:rFonts w:ascii="Book Antiqua" w:hAnsi="Book Antiqua"/>
        </w:rPr>
        <w:t>% de los casos entrado</w:t>
      </w:r>
      <w:r w:rsidR="006A07A0">
        <w:rPr>
          <w:rFonts w:ascii="Book Antiqua" w:hAnsi="Book Antiqua"/>
        </w:rPr>
        <w:t>s, lo cual también estaría en contra de</w:t>
      </w:r>
      <w:r w:rsidR="001C50C3">
        <w:rPr>
          <w:rFonts w:ascii="Book Antiqua" w:hAnsi="Book Antiqua"/>
        </w:rPr>
        <w:t xml:space="preserve"> equiparación de cargas y</w:t>
      </w:r>
      <w:r w:rsidR="006A07A0">
        <w:rPr>
          <w:rFonts w:ascii="Book Antiqua" w:hAnsi="Book Antiqua"/>
        </w:rPr>
        <w:t xml:space="preserve"> la estandarización de los Tribunales.</w:t>
      </w:r>
    </w:p>
    <w:p w14:paraId="7D9AAD02" w14:textId="035A534C" w:rsidR="007A765B" w:rsidRDefault="00E260EA" w:rsidP="007A765B">
      <w:pPr>
        <w:jc w:val="both"/>
        <w:rPr>
          <w:rFonts w:ascii="Book Antiqua" w:hAnsi="Book Antiqua"/>
          <w:b/>
          <w:bCs/>
        </w:rPr>
      </w:pPr>
      <w:r>
        <w:rPr>
          <w:rFonts w:ascii="Book Antiqua" w:hAnsi="Book Antiqua"/>
        </w:rPr>
        <w:t>En relación con</w:t>
      </w:r>
      <w:r w:rsidR="007A765B">
        <w:rPr>
          <w:rFonts w:ascii="Book Antiqua" w:hAnsi="Book Antiqua"/>
        </w:rPr>
        <w:t xml:space="preserve"> es</w:t>
      </w:r>
      <w:r w:rsidR="001C50C3">
        <w:rPr>
          <w:rFonts w:ascii="Book Antiqua" w:hAnsi="Book Antiqua"/>
        </w:rPr>
        <w:t>e</w:t>
      </w:r>
      <w:r w:rsidR="007A765B">
        <w:rPr>
          <w:rFonts w:ascii="Book Antiqua" w:hAnsi="Book Antiqua"/>
        </w:rPr>
        <w:t xml:space="preserve"> aspecto específico </w:t>
      </w:r>
      <w:r w:rsidR="007A765B" w:rsidDel="001A4ABB">
        <w:rPr>
          <w:rFonts w:ascii="Book Antiqua" w:hAnsi="Book Antiqua"/>
        </w:rPr>
        <w:t xml:space="preserve">de </w:t>
      </w:r>
      <w:r w:rsidR="001A4ABB">
        <w:rPr>
          <w:rFonts w:ascii="Book Antiqua" w:hAnsi="Book Antiqua"/>
        </w:rPr>
        <w:t>la</w:t>
      </w:r>
      <w:r w:rsidR="00B979AE">
        <w:rPr>
          <w:rFonts w:ascii="Book Antiqua" w:hAnsi="Book Antiqua"/>
        </w:rPr>
        <w:t xml:space="preserve"> solicitud de la cuota por tipo de proceso</w:t>
      </w:r>
      <w:r w:rsidR="007A765B">
        <w:rPr>
          <w:rFonts w:ascii="Book Antiqua" w:hAnsi="Book Antiqua"/>
        </w:rPr>
        <w:t xml:space="preserve"> indicada en el </w:t>
      </w:r>
      <w:r w:rsidR="007A765B" w:rsidRPr="007A765B">
        <w:rPr>
          <w:rFonts w:ascii="Book Antiqua" w:hAnsi="Book Antiqua"/>
        </w:rPr>
        <w:t xml:space="preserve">Oficio 1300-18: </w:t>
      </w:r>
      <w:r w:rsidR="007A765B" w:rsidRPr="00A81E9F">
        <w:rPr>
          <w:rFonts w:ascii="Book Antiqua" w:hAnsi="Book Antiqua"/>
        </w:rPr>
        <w:t xml:space="preserve">Acuerdo tomado por el Consejo Superior del Poder Judicial, en la sesión </w:t>
      </w:r>
      <w:r w:rsidR="007A765B" w:rsidRPr="007A765B">
        <w:rPr>
          <w:rFonts w:ascii="Book Antiqua" w:hAnsi="Book Antiqua"/>
        </w:rPr>
        <w:t>N° 9-18 c</w:t>
      </w:r>
      <w:r w:rsidR="007A765B" w:rsidRPr="00A81E9F">
        <w:rPr>
          <w:rFonts w:ascii="Book Antiqua" w:hAnsi="Book Antiqua"/>
        </w:rPr>
        <w:t xml:space="preserve">elebrada el </w:t>
      </w:r>
      <w:r w:rsidR="007A765B" w:rsidRPr="007A765B">
        <w:rPr>
          <w:rFonts w:ascii="Book Antiqua" w:hAnsi="Book Antiqua"/>
        </w:rPr>
        <w:t>1 de febrero del 2018, artículo LXI; que indica:</w:t>
      </w:r>
    </w:p>
    <w:p w14:paraId="4353F96F" w14:textId="598B760B" w:rsidR="007A765B" w:rsidRPr="00A81E9F" w:rsidRDefault="007A765B" w:rsidP="007A765B">
      <w:pPr>
        <w:ind w:left="567" w:right="474"/>
        <w:jc w:val="both"/>
        <w:rPr>
          <w:rFonts w:ascii="Book Antiqua" w:hAnsi="Book Antiqua"/>
          <w:i/>
          <w:iCs/>
        </w:rPr>
      </w:pPr>
      <w:r w:rsidRPr="00A81E9F">
        <w:rPr>
          <w:rFonts w:ascii="Book Antiqua" w:hAnsi="Book Antiqua"/>
          <w:b/>
          <w:bCs/>
          <w:i/>
          <w:iCs/>
        </w:rPr>
        <w:t>“…3.)</w:t>
      </w:r>
      <w:r w:rsidRPr="00A81E9F">
        <w:rPr>
          <w:rFonts w:ascii="Book Antiqua" w:hAnsi="Book Antiqua"/>
          <w:bCs/>
          <w:i/>
          <w:iCs/>
        </w:rPr>
        <w:t xml:space="preserve"> Deberá la </w:t>
      </w:r>
      <w:r w:rsidRPr="00A81E9F">
        <w:rPr>
          <w:rFonts w:ascii="Book Antiqua" w:hAnsi="Book Antiqua"/>
          <w:i/>
          <w:iCs/>
        </w:rPr>
        <w:t>Dirección de Planificación analizar un cambio en la cuota de los sentencias en el Tribunal de Apelación Civil y de Trabajo de Puntarenas, a fin de asignar una cuota por cada materia y tipo de proceso…”</w:t>
      </w:r>
      <w:r w:rsidR="00367B1E">
        <w:rPr>
          <w:rFonts w:ascii="Book Antiqua" w:hAnsi="Book Antiqua"/>
          <w:i/>
          <w:iCs/>
        </w:rPr>
        <w:t>.</w:t>
      </w:r>
    </w:p>
    <w:p w14:paraId="7278345A" w14:textId="77777777" w:rsidR="007A765B" w:rsidRPr="00A81E9F" w:rsidRDefault="007A765B" w:rsidP="007A765B">
      <w:pPr>
        <w:jc w:val="both"/>
        <w:rPr>
          <w:rFonts w:ascii="Book Antiqua" w:hAnsi="Book Antiqua"/>
          <w:b/>
          <w:bCs/>
          <w:u w:val="single"/>
        </w:rPr>
      </w:pPr>
    </w:p>
    <w:p w14:paraId="0B7D173A" w14:textId="77777777" w:rsidR="00367B1E" w:rsidRDefault="007A765B" w:rsidP="00F8758B">
      <w:pPr>
        <w:spacing w:line="276" w:lineRule="auto"/>
        <w:jc w:val="both"/>
        <w:rPr>
          <w:rFonts w:ascii="Book Antiqua" w:hAnsi="Book Antiqua"/>
        </w:rPr>
      </w:pPr>
      <w:r>
        <w:rPr>
          <w:rFonts w:ascii="Book Antiqua" w:hAnsi="Book Antiqua"/>
        </w:rPr>
        <w:t>Se establece que</w:t>
      </w:r>
      <w:r w:rsidR="00B979AE">
        <w:rPr>
          <w:rFonts w:ascii="Book Antiqua" w:hAnsi="Book Antiqua"/>
        </w:rPr>
        <w:t xml:space="preserve"> en este caso no es viable debido a la variabilidad en la cantidad de asuntos que ingresan de una zona geográfica, el </w:t>
      </w:r>
      <w:r w:rsidR="00E260EA">
        <w:rPr>
          <w:rFonts w:ascii="Book Antiqua" w:hAnsi="Book Antiqua"/>
        </w:rPr>
        <w:t>análisis</w:t>
      </w:r>
      <w:r w:rsidR="00B979AE">
        <w:rPr>
          <w:rFonts w:ascii="Book Antiqua" w:hAnsi="Book Antiqua"/>
        </w:rPr>
        <w:t xml:space="preserve"> de </w:t>
      </w:r>
      <w:r w:rsidR="00E260EA">
        <w:rPr>
          <w:rFonts w:ascii="Book Antiqua" w:hAnsi="Book Antiqua"/>
        </w:rPr>
        <w:t>los</w:t>
      </w:r>
      <w:r w:rsidR="00B979AE">
        <w:rPr>
          <w:rFonts w:ascii="Book Antiqua" w:hAnsi="Book Antiqua"/>
        </w:rPr>
        <w:t xml:space="preserve"> asuntos entrados por materia se puede </w:t>
      </w:r>
      <w:r w:rsidR="00E260EA">
        <w:rPr>
          <w:rFonts w:ascii="Book Antiqua" w:hAnsi="Book Antiqua"/>
        </w:rPr>
        <w:t>observar</w:t>
      </w:r>
      <w:r w:rsidR="00B979AE">
        <w:rPr>
          <w:rFonts w:ascii="Book Antiqua" w:hAnsi="Book Antiqua"/>
        </w:rPr>
        <w:t xml:space="preserve"> en el punto 3.1.1 y 3.1.2 en el que se detalla el histórico y se logra observar la diferencia, en este caso la Dirección de Planificación define una cuota de trabajo</w:t>
      </w:r>
      <w:r w:rsidR="00B43506">
        <w:rPr>
          <w:rFonts w:ascii="Book Antiqua" w:hAnsi="Book Antiqua"/>
        </w:rPr>
        <w:t xml:space="preserve"> por materia civil y laboral con base a la cantidad de entrados en cada despacho</w:t>
      </w:r>
      <w:r w:rsidR="001C50C3">
        <w:rPr>
          <w:rFonts w:ascii="Book Antiqua" w:hAnsi="Book Antiqua"/>
        </w:rPr>
        <w:t xml:space="preserve"> y </w:t>
      </w:r>
      <w:r w:rsidR="00B43506">
        <w:rPr>
          <w:rFonts w:ascii="Book Antiqua" w:hAnsi="Book Antiqua"/>
        </w:rPr>
        <w:t>por materia</w:t>
      </w:r>
      <w:r w:rsidR="001C50C3">
        <w:rPr>
          <w:rFonts w:ascii="Book Antiqua" w:hAnsi="Book Antiqua"/>
        </w:rPr>
        <w:t xml:space="preserve">. </w:t>
      </w:r>
    </w:p>
    <w:p w14:paraId="28D6F9AD" w14:textId="77777777" w:rsidR="00367B1E" w:rsidRDefault="00367B1E" w:rsidP="00F8758B">
      <w:pPr>
        <w:spacing w:line="276" w:lineRule="auto"/>
        <w:jc w:val="both"/>
        <w:rPr>
          <w:rFonts w:ascii="Book Antiqua" w:hAnsi="Book Antiqua"/>
        </w:rPr>
      </w:pPr>
    </w:p>
    <w:p w14:paraId="3D0E5B92" w14:textId="58F0CC35" w:rsidR="00B979AE" w:rsidRPr="00B979AE" w:rsidRDefault="001C50C3" w:rsidP="00F8758B">
      <w:pPr>
        <w:spacing w:line="276" w:lineRule="auto"/>
        <w:jc w:val="both"/>
        <w:rPr>
          <w:rFonts w:ascii="Book Antiqua" w:hAnsi="Book Antiqua"/>
        </w:rPr>
      </w:pPr>
      <w:r>
        <w:rPr>
          <w:rFonts w:ascii="Book Antiqua" w:hAnsi="Book Antiqua"/>
        </w:rPr>
        <w:t>P</w:t>
      </w:r>
      <w:r w:rsidR="00B43506">
        <w:rPr>
          <w:rFonts w:ascii="Book Antiqua" w:hAnsi="Book Antiqua"/>
        </w:rPr>
        <w:t xml:space="preserve">or tipo de proceso </w:t>
      </w:r>
      <w:r w:rsidR="00E260EA">
        <w:rPr>
          <w:rFonts w:ascii="Book Antiqua" w:hAnsi="Book Antiqua"/>
        </w:rPr>
        <w:t xml:space="preserve">al ser históricos, contemplan diferencias que </w:t>
      </w:r>
      <w:r w:rsidR="00595E03">
        <w:rPr>
          <w:rFonts w:ascii="Book Antiqua" w:hAnsi="Book Antiqua"/>
        </w:rPr>
        <w:t>afecta</w:t>
      </w:r>
      <w:r w:rsidR="00E260EA">
        <w:rPr>
          <w:rFonts w:ascii="Book Antiqua" w:hAnsi="Book Antiqua"/>
        </w:rPr>
        <w:t xml:space="preserve"> el establecer una cuota de trabajo que varié con el tiempo</w:t>
      </w:r>
      <w:r w:rsidR="00B43506">
        <w:rPr>
          <w:rFonts w:ascii="Book Antiqua" w:hAnsi="Book Antiqua"/>
        </w:rPr>
        <w:t>.</w:t>
      </w:r>
      <w:r w:rsidR="00B21A6F">
        <w:rPr>
          <w:rFonts w:ascii="Book Antiqua" w:hAnsi="Book Antiqua"/>
        </w:rPr>
        <w:t xml:space="preserve"> </w:t>
      </w:r>
    </w:p>
    <w:p w14:paraId="6B30AFAB" w14:textId="58585B61" w:rsidR="00093E44" w:rsidRDefault="00093E44" w:rsidP="00F8758B">
      <w:pPr>
        <w:spacing w:line="276" w:lineRule="auto"/>
        <w:jc w:val="both"/>
        <w:rPr>
          <w:rFonts w:ascii="Book Antiqua" w:hAnsi="Book Antiqua"/>
        </w:rPr>
      </w:pPr>
    </w:p>
    <w:p w14:paraId="3A1A885B" w14:textId="4F025C87" w:rsidR="00B979AE" w:rsidRPr="00B21A6F" w:rsidRDefault="00B979AE" w:rsidP="009C259C">
      <w:pPr>
        <w:pStyle w:val="Ttulo3"/>
        <w:numPr>
          <w:ilvl w:val="1"/>
          <w:numId w:val="1"/>
        </w:numPr>
        <w:rPr>
          <w:rFonts w:ascii="Book Antiqua" w:hAnsi="Book Antiqua"/>
          <w:b/>
          <w:bCs/>
          <w:sz w:val="22"/>
        </w:rPr>
      </w:pPr>
      <w:r w:rsidRPr="00B21A6F">
        <w:rPr>
          <w:rFonts w:ascii="Book Antiqua" w:hAnsi="Book Antiqua"/>
          <w:b/>
          <w:bCs/>
        </w:rPr>
        <w:t>Cuota de trabajo para el personal juzgador coordinador:</w:t>
      </w:r>
    </w:p>
    <w:p w14:paraId="26EDCF8B" w14:textId="77777777" w:rsidR="00B979AE" w:rsidRPr="00C85830" w:rsidRDefault="00B979AE" w:rsidP="00B979AE">
      <w:pPr>
        <w:spacing w:line="276" w:lineRule="auto"/>
        <w:jc w:val="both"/>
        <w:rPr>
          <w:rFonts w:ascii="Book Antiqua" w:hAnsi="Book Antiqua"/>
        </w:rPr>
      </w:pPr>
    </w:p>
    <w:p w14:paraId="326F4A8E" w14:textId="056909AA" w:rsidR="00B21A6F" w:rsidRDefault="00B979AE" w:rsidP="00B979AE">
      <w:pPr>
        <w:autoSpaceDE w:val="0"/>
        <w:autoSpaceDN w:val="0"/>
        <w:adjustRightInd w:val="0"/>
        <w:spacing w:after="0" w:line="276" w:lineRule="auto"/>
        <w:jc w:val="both"/>
        <w:rPr>
          <w:rFonts w:ascii="Book Antiqua" w:hAnsi="Book Antiqua"/>
        </w:rPr>
      </w:pPr>
      <w:bookmarkStart w:id="8" w:name="_Hlk63100781"/>
      <w:r>
        <w:rPr>
          <w:rFonts w:ascii="Book Antiqua" w:hAnsi="Book Antiqua"/>
        </w:rPr>
        <w:t xml:space="preserve">Mediante </w:t>
      </w:r>
      <w:r w:rsidR="005F6403">
        <w:rPr>
          <w:rFonts w:ascii="Book Antiqua" w:hAnsi="Book Antiqua"/>
        </w:rPr>
        <w:t>c</w:t>
      </w:r>
      <w:r>
        <w:rPr>
          <w:rFonts w:ascii="Book Antiqua" w:hAnsi="Book Antiqua"/>
        </w:rPr>
        <w:t xml:space="preserve">ircular N° 33-2013 </w:t>
      </w:r>
      <w:r w:rsidRPr="00D224C5">
        <w:rPr>
          <w:rFonts w:ascii="Book Antiqua" w:hAnsi="Book Antiqua"/>
        </w:rPr>
        <w:t xml:space="preserve">de </w:t>
      </w:r>
      <w:r>
        <w:rPr>
          <w:rFonts w:ascii="Book Antiqua" w:hAnsi="Book Antiqua"/>
        </w:rPr>
        <w:t xml:space="preserve">la </w:t>
      </w:r>
      <w:r w:rsidRPr="00D224C5">
        <w:rPr>
          <w:rFonts w:ascii="Book Antiqua" w:hAnsi="Book Antiqua"/>
        </w:rPr>
        <w:t>Secretaría de la Corte</w:t>
      </w:r>
      <w:r>
        <w:rPr>
          <w:rFonts w:ascii="Book Antiqua" w:hAnsi="Book Antiqua"/>
        </w:rPr>
        <w:t>, relacionada con “</w:t>
      </w:r>
      <w:r w:rsidRPr="00D224C5">
        <w:rPr>
          <w:rFonts w:ascii="Book Antiqua" w:hAnsi="Book Antiqua"/>
          <w:i/>
          <w:iCs/>
        </w:rPr>
        <w:t>Asunto: Sobre la coordinación de despachos judiciales</w:t>
      </w:r>
      <w:r>
        <w:rPr>
          <w:rFonts w:ascii="Book Antiqua" w:hAnsi="Book Antiqua"/>
        </w:rPr>
        <w:t>”, publicada el 11 de febrero del 2013, se comunicó a todas las juezas y jueces del país el acuerdo del</w:t>
      </w:r>
      <w:r w:rsidRPr="00B462E9">
        <w:rPr>
          <w:rFonts w:ascii="Book Antiqua" w:hAnsi="Book Antiqua"/>
        </w:rPr>
        <w:t xml:space="preserve"> Consejo Superior </w:t>
      </w:r>
      <w:r>
        <w:rPr>
          <w:rFonts w:ascii="Book Antiqua" w:hAnsi="Book Antiqua"/>
        </w:rPr>
        <w:t>tomando en la</w:t>
      </w:r>
      <w:r w:rsidRPr="00B462E9">
        <w:rPr>
          <w:rFonts w:ascii="Book Antiqua" w:hAnsi="Book Antiqua"/>
        </w:rPr>
        <w:t xml:space="preserve"> sesión N° 102-12, celebrada el 22 de noviembre de 2012, artículo LXII</w:t>
      </w:r>
      <w:r>
        <w:rPr>
          <w:rFonts w:ascii="Book Antiqua" w:hAnsi="Book Antiqua"/>
        </w:rPr>
        <w:t xml:space="preserve">, que literalmente indica: </w:t>
      </w:r>
    </w:p>
    <w:p w14:paraId="464B4B9A" w14:textId="77777777" w:rsidR="00367B1E" w:rsidRDefault="00367B1E" w:rsidP="00B21A6F">
      <w:pPr>
        <w:autoSpaceDE w:val="0"/>
        <w:autoSpaceDN w:val="0"/>
        <w:adjustRightInd w:val="0"/>
        <w:spacing w:after="0" w:line="276" w:lineRule="auto"/>
        <w:ind w:left="567" w:right="616"/>
        <w:jc w:val="both"/>
        <w:rPr>
          <w:rFonts w:ascii="Book Antiqua" w:hAnsi="Book Antiqua"/>
        </w:rPr>
      </w:pPr>
    </w:p>
    <w:p w14:paraId="3BCCAE7A" w14:textId="51A0315B" w:rsidR="00B21A6F" w:rsidRDefault="00B979AE" w:rsidP="00B21A6F">
      <w:pPr>
        <w:autoSpaceDE w:val="0"/>
        <w:autoSpaceDN w:val="0"/>
        <w:adjustRightInd w:val="0"/>
        <w:spacing w:after="0" w:line="276" w:lineRule="auto"/>
        <w:ind w:left="567" w:right="616"/>
        <w:jc w:val="both"/>
        <w:rPr>
          <w:rFonts w:ascii="Book Antiqua" w:hAnsi="Book Antiqua"/>
        </w:rPr>
      </w:pPr>
      <w:r>
        <w:rPr>
          <w:rFonts w:ascii="Book Antiqua" w:hAnsi="Book Antiqua"/>
        </w:rPr>
        <w:t>“…</w:t>
      </w:r>
      <w:r w:rsidRPr="00D224C5">
        <w:rPr>
          <w:rFonts w:ascii="Book Antiqua" w:hAnsi="Book Antiqua"/>
          <w:i/>
          <w:iCs/>
        </w:rPr>
        <w:t>acordó comunicarles que en los despachos judiciales donde ejerzan funciones más de 3 jueces, la Jueza o el Juez Coordinador deberá disponer del tiempo necesario para realizar la labor de coordinación, para lo cual podrá disminuir razonablemente su carga laboral en materia jurisdiccional propia del despacho.</w:t>
      </w:r>
      <w:r>
        <w:rPr>
          <w:rFonts w:ascii="Book Antiqua" w:hAnsi="Book Antiqua"/>
        </w:rPr>
        <w:t>”</w:t>
      </w:r>
      <w:r w:rsidR="00367B1E">
        <w:rPr>
          <w:rFonts w:ascii="Book Antiqua" w:hAnsi="Book Antiqua"/>
        </w:rPr>
        <w:t>.</w:t>
      </w:r>
      <w:r>
        <w:rPr>
          <w:rFonts w:ascii="Book Antiqua" w:hAnsi="Book Antiqua"/>
        </w:rPr>
        <w:t xml:space="preserve"> </w:t>
      </w:r>
    </w:p>
    <w:p w14:paraId="0C3FE216" w14:textId="0B28EB04" w:rsidR="00B979AE" w:rsidRPr="00D224C5" w:rsidRDefault="00B979AE" w:rsidP="00DB18A0">
      <w:pPr>
        <w:autoSpaceDE w:val="0"/>
        <w:autoSpaceDN w:val="0"/>
        <w:adjustRightInd w:val="0"/>
        <w:spacing w:after="0" w:line="276" w:lineRule="auto"/>
        <w:ind w:left="567" w:right="616"/>
        <w:jc w:val="both"/>
        <w:rPr>
          <w:rFonts w:ascii="17liplefpjlkmcf" w:hAnsi="17liplefpjlkmcf" w:cs="17liplefpjlkmcf"/>
          <w:sz w:val="24"/>
          <w:szCs w:val="24"/>
        </w:rPr>
      </w:pPr>
      <w:r w:rsidRPr="001F657D">
        <w:rPr>
          <w:rFonts w:ascii="Book Antiqua" w:hAnsi="Book Antiqua"/>
        </w:rPr>
        <w:t>(ver anexo 1</w:t>
      </w:r>
      <w:r>
        <w:rPr>
          <w:rFonts w:ascii="Book Antiqua" w:hAnsi="Book Antiqua"/>
        </w:rPr>
        <w:t xml:space="preserve"> </w:t>
      </w:r>
      <w:r w:rsidRPr="001F657D">
        <w:rPr>
          <w:rFonts w:ascii="Book Antiqua" w:hAnsi="Book Antiqua"/>
        </w:rPr>
        <w:t>Circular de Secretaría de la Corte N° 033 – 2013)</w:t>
      </w:r>
    </w:p>
    <w:p w14:paraId="09D130A0" w14:textId="0D7A251B" w:rsidR="00B979AE" w:rsidRDefault="00B979AE" w:rsidP="00B979AE">
      <w:pPr>
        <w:jc w:val="both"/>
        <w:rPr>
          <w:rFonts w:ascii="Book Antiqua" w:hAnsi="Book Antiqua"/>
        </w:rPr>
      </w:pPr>
    </w:p>
    <w:p w14:paraId="39431A4E" w14:textId="4C21B68E" w:rsidR="00B979AE" w:rsidRPr="00583F34" w:rsidRDefault="00B979AE" w:rsidP="00B979AE">
      <w:pPr>
        <w:jc w:val="both"/>
        <w:rPr>
          <w:rFonts w:ascii="Book Antiqua" w:hAnsi="Book Antiqua"/>
        </w:rPr>
      </w:pPr>
      <w:r>
        <w:rPr>
          <w:rFonts w:ascii="Book Antiqua" w:hAnsi="Book Antiqua"/>
        </w:rPr>
        <w:t xml:space="preserve">Conforme a lo antes expuesto, se detallan los Tribunales de Apelación </w:t>
      </w:r>
      <w:r w:rsidDel="00BB75CC">
        <w:rPr>
          <w:rFonts w:ascii="Book Antiqua" w:hAnsi="Book Antiqua"/>
        </w:rPr>
        <w:t xml:space="preserve">Civil </w:t>
      </w:r>
      <w:r w:rsidR="00BB75CC">
        <w:rPr>
          <w:rFonts w:ascii="Book Antiqua" w:hAnsi="Book Antiqua"/>
        </w:rPr>
        <w:t>y</w:t>
      </w:r>
      <w:r w:rsidR="00B21A6F">
        <w:rPr>
          <w:rFonts w:ascii="Book Antiqua" w:hAnsi="Book Antiqua"/>
        </w:rPr>
        <w:t xml:space="preserve"> </w:t>
      </w:r>
      <w:r>
        <w:rPr>
          <w:rFonts w:ascii="Book Antiqua" w:hAnsi="Book Antiqua"/>
        </w:rPr>
        <w:t>Laboral que tienen asignadas más de tres personas juzgadoras</w:t>
      </w:r>
      <w:r w:rsidRPr="00583F34">
        <w:rPr>
          <w:rFonts w:ascii="Book Antiqua" w:hAnsi="Book Antiqua"/>
        </w:rPr>
        <w:t>:</w:t>
      </w:r>
    </w:p>
    <w:bookmarkEnd w:id="8"/>
    <w:p w14:paraId="5E54F44E" w14:textId="32D682FA" w:rsidR="00B979AE" w:rsidRPr="00873FD3" w:rsidRDefault="00B979AE" w:rsidP="00B979AE">
      <w:pPr>
        <w:keepNext/>
        <w:widowControl w:val="0"/>
        <w:autoSpaceDE w:val="0"/>
        <w:autoSpaceDN w:val="0"/>
        <w:adjustRightInd w:val="0"/>
        <w:spacing w:after="0" w:line="240" w:lineRule="auto"/>
        <w:jc w:val="center"/>
        <w:rPr>
          <w:rFonts w:ascii="Book Antiqua" w:eastAsia="Times New Roman" w:hAnsi="Book Antiqua" w:cs="Arial"/>
          <w:b/>
          <w:bCs/>
          <w:color w:val="1F497D" w:themeColor="text2"/>
          <w:lang w:eastAsia="es-ES"/>
        </w:rPr>
      </w:pPr>
      <w:r w:rsidRPr="00583F34">
        <w:rPr>
          <w:rFonts w:ascii="Book Antiqua" w:eastAsia="Times New Roman" w:hAnsi="Book Antiqua" w:cs="Arial"/>
          <w:b/>
          <w:bCs/>
          <w:color w:val="1F497D" w:themeColor="text2"/>
          <w:lang w:eastAsia="es-ES"/>
        </w:rPr>
        <w:t xml:space="preserve">Cuadro </w:t>
      </w:r>
      <w:r w:rsidRPr="00873FD3">
        <w:rPr>
          <w:rFonts w:ascii="Book Antiqua" w:eastAsia="Times New Roman" w:hAnsi="Book Antiqua" w:cs="Arial"/>
          <w:b/>
          <w:bCs/>
          <w:color w:val="1F497D" w:themeColor="text2"/>
          <w:lang w:eastAsia="es-ES"/>
        </w:rPr>
        <w:fldChar w:fldCharType="begin"/>
      </w:r>
      <w:r w:rsidRPr="00583F34">
        <w:rPr>
          <w:rFonts w:ascii="Book Antiqua" w:eastAsia="Times New Roman" w:hAnsi="Book Antiqua" w:cs="Arial"/>
          <w:b/>
          <w:bCs/>
          <w:color w:val="1F497D" w:themeColor="text2"/>
          <w:lang w:eastAsia="es-ES"/>
        </w:rPr>
        <w:instrText xml:space="preserve"> SEQ Cuadro \* ARABIC </w:instrText>
      </w:r>
      <w:r w:rsidRPr="00873FD3">
        <w:rPr>
          <w:rFonts w:ascii="Book Antiqua" w:eastAsia="Times New Roman" w:hAnsi="Book Antiqua" w:cs="Arial"/>
          <w:b/>
          <w:bCs/>
          <w:color w:val="1F497D" w:themeColor="text2"/>
          <w:lang w:eastAsia="es-ES"/>
        </w:rPr>
        <w:fldChar w:fldCharType="separate"/>
      </w:r>
      <w:r w:rsidR="00DB3347">
        <w:rPr>
          <w:rFonts w:ascii="Book Antiqua" w:eastAsia="Times New Roman" w:hAnsi="Book Antiqua" w:cs="Arial"/>
          <w:b/>
          <w:bCs/>
          <w:noProof/>
          <w:color w:val="1F497D" w:themeColor="text2"/>
          <w:lang w:eastAsia="es-ES"/>
        </w:rPr>
        <w:t>10</w:t>
      </w:r>
      <w:r w:rsidRPr="00873FD3">
        <w:rPr>
          <w:rFonts w:ascii="Book Antiqua" w:eastAsia="Times New Roman" w:hAnsi="Book Antiqua" w:cs="Arial"/>
          <w:b/>
          <w:bCs/>
          <w:color w:val="1F497D" w:themeColor="text2"/>
          <w:lang w:eastAsia="es-ES"/>
        </w:rPr>
        <w:fldChar w:fldCharType="end"/>
      </w:r>
    </w:p>
    <w:p w14:paraId="7C2D4998" w14:textId="77777777" w:rsidR="00B979AE" w:rsidRPr="00583F34" w:rsidRDefault="00B979AE" w:rsidP="00B979AE">
      <w:pPr>
        <w:keepNext/>
        <w:widowControl w:val="0"/>
        <w:autoSpaceDE w:val="0"/>
        <w:autoSpaceDN w:val="0"/>
        <w:adjustRightInd w:val="0"/>
        <w:spacing w:after="0" w:line="240" w:lineRule="auto"/>
        <w:jc w:val="center"/>
        <w:rPr>
          <w:rFonts w:ascii="Book Antiqua" w:eastAsia="Times New Roman" w:hAnsi="Book Antiqua" w:cs="Arial"/>
          <w:b/>
          <w:bCs/>
          <w:color w:val="1F497D" w:themeColor="text2"/>
          <w:lang w:eastAsia="es-ES"/>
        </w:rPr>
      </w:pPr>
      <w:r w:rsidRPr="00C85830">
        <w:rPr>
          <w:rFonts w:ascii="Book Antiqua" w:eastAsia="Times New Roman" w:hAnsi="Book Antiqua" w:cs="Arial"/>
          <w:b/>
          <w:bCs/>
          <w:color w:val="1F497D" w:themeColor="text2"/>
          <w:lang w:eastAsia="es-ES"/>
        </w:rPr>
        <w:t xml:space="preserve">Despachos que </w:t>
      </w:r>
      <w:r w:rsidRPr="00B462E9">
        <w:rPr>
          <w:rFonts w:ascii="Book Antiqua" w:eastAsia="Times New Roman" w:hAnsi="Book Antiqua" w:cs="Arial"/>
          <w:b/>
          <w:bCs/>
          <w:color w:val="1F497D" w:themeColor="text2"/>
          <w:lang w:eastAsia="es-ES"/>
        </w:rPr>
        <w:t>cumplen con el criterio de reducción de cuota para las personas juzgador</w:t>
      </w:r>
      <w:r w:rsidRPr="00583F34">
        <w:rPr>
          <w:rFonts w:ascii="Book Antiqua" w:eastAsia="Times New Roman" w:hAnsi="Book Antiqua" w:cs="Arial"/>
          <w:b/>
          <w:bCs/>
          <w:color w:val="1F497D" w:themeColor="text2"/>
          <w:lang w:eastAsia="es-ES"/>
        </w:rPr>
        <w:t>as coordinadoras</w:t>
      </w:r>
    </w:p>
    <w:tbl>
      <w:tblPr>
        <w:tblW w:w="0" w:type="auto"/>
        <w:jc w:val="center"/>
        <w:tblCellMar>
          <w:left w:w="70" w:type="dxa"/>
          <w:right w:w="70" w:type="dxa"/>
        </w:tblCellMar>
        <w:tblLook w:val="04A0" w:firstRow="1" w:lastRow="0" w:firstColumn="1" w:lastColumn="0" w:noHBand="0" w:noVBand="1"/>
      </w:tblPr>
      <w:tblGrid>
        <w:gridCol w:w="6355"/>
        <w:gridCol w:w="2437"/>
      </w:tblGrid>
      <w:tr w:rsidR="00B979AE" w:rsidRPr="00583F34" w14:paraId="7153F4C4" w14:textId="77777777" w:rsidTr="00B979AE">
        <w:trPr>
          <w:trHeight w:val="20"/>
          <w:jc w:val="center"/>
        </w:trPr>
        <w:tc>
          <w:tcPr>
            <w:tcW w:w="0" w:type="auto"/>
            <w:tcBorders>
              <w:top w:val="double" w:sz="6" w:space="0" w:color="1F497D"/>
              <w:left w:val="double" w:sz="6" w:space="0" w:color="1F497D"/>
              <w:bottom w:val="double" w:sz="6" w:space="0" w:color="1F497D"/>
              <w:right w:val="double" w:sz="6" w:space="0" w:color="1F497D"/>
            </w:tcBorders>
            <w:shd w:val="clear" w:color="000000" w:fill="1F497D"/>
            <w:vAlign w:val="center"/>
            <w:hideMark/>
          </w:tcPr>
          <w:p w14:paraId="706D56AF" w14:textId="77777777" w:rsidR="00B979AE" w:rsidRPr="00583F34" w:rsidRDefault="00B979AE" w:rsidP="00B979AE">
            <w:pPr>
              <w:spacing w:after="0" w:line="240" w:lineRule="auto"/>
              <w:jc w:val="center"/>
              <w:rPr>
                <w:rFonts w:ascii="Book Antiqua" w:eastAsia="Times New Roman" w:hAnsi="Book Antiqua" w:cs="Times New Roman"/>
                <w:b/>
                <w:bCs/>
                <w:color w:val="FFFFFF"/>
                <w:lang w:eastAsia="es-CR"/>
              </w:rPr>
            </w:pPr>
            <w:r w:rsidRPr="00583F34">
              <w:rPr>
                <w:rFonts w:ascii="Book Antiqua" w:eastAsia="Times New Roman" w:hAnsi="Book Antiqua" w:cs="Times New Roman"/>
                <w:b/>
                <w:bCs/>
                <w:color w:val="FFFFFF"/>
                <w:lang w:eastAsia="es-CR"/>
              </w:rPr>
              <w:t>Despacho</w:t>
            </w:r>
          </w:p>
        </w:tc>
        <w:tc>
          <w:tcPr>
            <w:tcW w:w="0" w:type="auto"/>
            <w:tcBorders>
              <w:top w:val="double" w:sz="6" w:space="0" w:color="1F497D"/>
              <w:left w:val="nil"/>
              <w:bottom w:val="double" w:sz="6" w:space="0" w:color="1F497D"/>
              <w:right w:val="double" w:sz="6" w:space="0" w:color="1F497D"/>
            </w:tcBorders>
            <w:shd w:val="clear" w:color="000000" w:fill="1F497D"/>
            <w:vAlign w:val="center"/>
            <w:hideMark/>
          </w:tcPr>
          <w:p w14:paraId="2DA36B31" w14:textId="77777777" w:rsidR="00B979AE" w:rsidRPr="00583F34" w:rsidRDefault="00B979AE" w:rsidP="00B979AE">
            <w:pPr>
              <w:spacing w:after="0" w:line="240" w:lineRule="auto"/>
              <w:jc w:val="center"/>
              <w:rPr>
                <w:rFonts w:ascii="Book Antiqua" w:eastAsia="Times New Roman" w:hAnsi="Book Antiqua" w:cs="Times New Roman"/>
                <w:b/>
                <w:bCs/>
                <w:color w:val="FFFFFF"/>
                <w:lang w:eastAsia="es-CR"/>
              </w:rPr>
            </w:pPr>
            <w:r w:rsidRPr="00583F34">
              <w:rPr>
                <w:rFonts w:ascii="Book Antiqua" w:eastAsia="Times New Roman" w:hAnsi="Book Antiqua" w:cs="Times New Roman"/>
                <w:b/>
                <w:bCs/>
                <w:color w:val="FFFFFF"/>
                <w:lang w:eastAsia="es-CR"/>
              </w:rPr>
              <w:t>Cantidad de personal juzgador</w:t>
            </w:r>
          </w:p>
        </w:tc>
      </w:tr>
      <w:tr w:rsidR="00B979AE" w:rsidRPr="00583F34" w14:paraId="561EE31D" w14:textId="77777777" w:rsidTr="00B979AE">
        <w:trPr>
          <w:trHeight w:val="20"/>
          <w:jc w:val="center"/>
        </w:trPr>
        <w:tc>
          <w:tcPr>
            <w:tcW w:w="0" w:type="auto"/>
            <w:tcBorders>
              <w:top w:val="nil"/>
              <w:left w:val="double" w:sz="6" w:space="0" w:color="1F497D"/>
              <w:bottom w:val="double" w:sz="6" w:space="0" w:color="1F497D"/>
              <w:right w:val="double" w:sz="6" w:space="0" w:color="1F497D"/>
            </w:tcBorders>
            <w:shd w:val="clear" w:color="000000" w:fill="DCE6F1"/>
            <w:vAlign w:val="center"/>
            <w:hideMark/>
          </w:tcPr>
          <w:p w14:paraId="3CE1E55C" w14:textId="77777777" w:rsidR="00B979AE" w:rsidRPr="00583F34" w:rsidRDefault="00B979AE" w:rsidP="00B979AE">
            <w:pPr>
              <w:spacing w:after="0" w:line="240" w:lineRule="auto"/>
              <w:rPr>
                <w:rFonts w:ascii="Book Antiqua" w:eastAsia="Times New Roman" w:hAnsi="Book Antiqua" w:cs="Times New Roman"/>
                <w:color w:val="000000"/>
                <w:lang w:eastAsia="es-CR"/>
              </w:rPr>
            </w:pPr>
            <w:r w:rsidRPr="003D214D">
              <w:rPr>
                <w:rFonts w:ascii="Book Antiqua" w:eastAsia="Times New Roman" w:hAnsi="Book Antiqua" w:cs="Times New Roman"/>
                <w:lang w:eastAsia="es-CR"/>
              </w:rPr>
              <w:t>Tribunal de Apelación Civil y Trabajo de Alajuela</w:t>
            </w:r>
          </w:p>
        </w:tc>
        <w:tc>
          <w:tcPr>
            <w:tcW w:w="0" w:type="auto"/>
            <w:tcBorders>
              <w:top w:val="nil"/>
              <w:left w:val="nil"/>
              <w:bottom w:val="double" w:sz="6" w:space="0" w:color="1F497D"/>
              <w:right w:val="double" w:sz="6" w:space="0" w:color="1F497D"/>
            </w:tcBorders>
            <w:shd w:val="clear" w:color="000000" w:fill="DCE6F1"/>
            <w:vAlign w:val="center"/>
            <w:hideMark/>
          </w:tcPr>
          <w:p w14:paraId="4128D276" w14:textId="77777777" w:rsidR="00B979AE" w:rsidRPr="00583F34" w:rsidRDefault="00B979AE" w:rsidP="00B979AE">
            <w:pPr>
              <w:spacing w:after="0" w:line="240" w:lineRule="auto"/>
              <w:jc w:val="center"/>
              <w:rPr>
                <w:rFonts w:ascii="Book Antiqua" w:eastAsia="Times New Roman" w:hAnsi="Book Antiqua" w:cs="Times New Roman"/>
                <w:color w:val="000000"/>
                <w:lang w:eastAsia="es-CR"/>
              </w:rPr>
            </w:pPr>
            <w:r w:rsidRPr="00583F34">
              <w:rPr>
                <w:rFonts w:ascii="Book Antiqua" w:eastAsia="Times New Roman" w:hAnsi="Book Antiqua" w:cs="Times New Roman"/>
                <w:color w:val="000000"/>
                <w:lang w:eastAsia="es-CR"/>
              </w:rPr>
              <w:t>6</w:t>
            </w:r>
          </w:p>
        </w:tc>
      </w:tr>
      <w:tr w:rsidR="00B979AE" w:rsidRPr="00583F34" w14:paraId="12DC5D8B" w14:textId="77777777" w:rsidTr="00B979AE">
        <w:trPr>
          <w:trHeight w:val="20"/>
          <w:jc w:val="center"/>
        </w:trPr>
        <w:tc>
          <w:tcPr>
            <w:tcW w:w="0" w:type="auto"/>
            <w:tcBorders>
              <w:top w:val="nil"/>
              <w:left w:val="double" w:sz="6" w:space="0" w:color="1F497D"/>
              <w:bottom w:val="double" w:sz="6" w:space="0" w:color="1F497D"/>
              <w:right w:val="double" w:sz="6" w:space="0" w:color="1F497D"/>
            </w:tcBorders>
            <w:shd w:val="clear" w:color="auto" w:fill="auto"/>
            <w:vAlign w:val="center"/>
            <w:hideMark/>
          </w:tcPr>
          <w:p w14:paraId="79FBBF1A" w14:textId="2105F8EB" w:rsidR="00B979AE" w:rsidRPr="00583F34" w:rsidRDefault="00B979AE" w:rsidP="00B979AE">
            <w:pPr>
              <w:spacing w:after="0" w:line="240" w:lineRule="auto"/>
              <w:rPr>
                <w:rFonts w:ascii="Book Antiqua" w:eastAsia="Times New Roman" w:hAnsi="Book Antiqua" w:cs="Times New Roman"/>
                <w:lang w:eastAsia="es-CR"/>
              </w:rPr>
            </w:pPr>
            <w:r w:rsidRPr="000C5306">
              <w:rPr>
                <w:rFonts w:ascii="Book Antiqua" w:eastAsia="Times New Roman" w:hAnsi="Book Antiqua" w:cs="Times New Roman"/>
                <w:lang w:eastAsia="es-CR"/>
              </w:rPr>
              <w:t>Tribunal</w:t>
            </w:r>
            <w:r>
              <w:rPr>
                <w:rFonts w:ascii="Book Antiqua" w:eastAsia="Times New Roman" w:hAnsi="Book Antiqua" w:cs="Times New Roman"/>
                <w:lang w:eastAsia="es-CR"/>
              </w:rPr>
              <w:t xml:space="preserve"> </w:t>
            </w:r>
            <w:r w:rsidRPr="003D214D">
              <w:rPr>
                <w:rFonts w:ascii="Book Antiqua" w:eastAsia="Times New Roman" w:hAnsi="Book Antiqua" w:cs="Times New Roman"/>
                <w:lang w:eastAsia="es-CR"/>
              </w:rPr>
              <w:t>de Apelación Civil y Trabajo</w:t>
            </w:r>
            <w:r>
              <w:rPr>
                <w:rFonts w:ascii="Book Antiqua" w:eastAsia="Times New Roman" w:hAnsi="Book Antiqua" w:cs="Times New Roman"/>
                <w:lang w:eastAsia="es-CR"/>
              </w:rPr>
              <w:t xml:space="preserve"> del</w:t>
            </w:r>
            <w:r w:rsidRPr="000C5306">
              <w:rPr>
                <w:rFonts w:ascii="Book Antiqua" w:eastAsia="Times New Roman" w:hAnsi="Book Antiqua" w:cs="Times New Roman"/>
                <w:lang w:eastAsia="es-CR"/>
              </w:rPr>
              <w:t xml:space="preserve"> Primer Circuito Judicial de la Zona Atlántica </w:t>
            </w:r>
            <w:r w:rsidR="000C71EA">
              <w:rPr>
                <w:rFonts w:ascii="Book Antiqua" w:eastAsia="Times New Roman" w:hAnsi="Book Antiqua" w:cs="Times New Roman"/>
                <w:lang w:eastAsia="es-CR"/>
              </w:rPr>
              <w:t>(Limón)</w:t>
            </w:r>
          </w:p>
        </w:tc>
        <w:tc>
          <w:tcPr>
            <w:tcW w:w="0" w:type="auto"/>
            <w:tcBorders>
              <w:top w:val="nil"/>
              <w:left w:val="nil"/>
              <w:bottom w:val="double" w:sz="6" w:space="0" w:color="1F497D"/>
              <w:right w:val="double" w:sz="6" w:space="0" w:color="1F497D"/>
            </w:tcBorders>
            <w:shd w:val="clear" w:color="auto" w:fill="auto"/>
            <w:vAlign w:val="center"/>
            <w:hideMark/>
          </w:tcPr>
          <w:p w14:paraId="49DF340B" w14:textId="77777777" w:rsidR="00B979AE" w:rsidRPr="00583F34" w:rsidRDefault="00B979AE" w:rsidP="00B979AE">
            <w:pPr>
              <w:spacing w:after="0" w:line="240" w:lineRule="auto"/>
              <w:jc w:val="center"/>
              <w:rPr>
                <w:rFonts w:ascii="Book Antiqua" w:eastAsia="Times New Roman" w:hAnsi="Book Antiqua" w:cs="Times New Roman"/>
                <w:lang w:eastAsia="es-CR"/>
              </w:rPr>
            </w:pPr>
            <w:r w:rsidRPr="00583F34">
              <w:rPr>
                <w:rFonts w:ascii="Book Antiqua" w:eastAsia="Times New Roman" w:hAnsi="Book Antiqua" w:cs="Times New Roman"/>
                <w:lang w:eastAsia="es-CR"/>
              </w:rPr>
              <w:t>4</w:t>
            </w:r>
          </w:p>
        </w:tc>
      </w:tr>
    </w:tbl>
    <w:p w14:paraId="359D80CB" w14:textId="1B83C5C9" w:rsidR="00B979AE" w:rsidRPr="008C29E1" w:rsidRDefault="00B979AE" w:rsidP="00EB031E">
      <w:pPr>
        <w:jc w:val="both"/>
        <w:rPr>
          <w:rFonts w:ascii="Book Antiqua" w:hAnsi="Book Antiqua"/>
        </w:rPr>
      </w:pPr>
      <w:r w:rsidRPr="00583F34">
        <w:rPr>
          <w:rFonts w:ascii="Book Antiqua" w:hAnsi="Book Antiqua"/>
          <w:b/>
          <w:i/>
          <w:sz w:val="20"/>
        </w:rPr>
        <w:t>Fuente: Elaboración propia con base a Relación de Puestos 2020.</w:t>
      </w:r>
    </w:p>
    <w:p w14:paraId="5A0786CB" w14:textId="6FB7EA52" w:rsidR="00CC308F" w:rsidRPr="003A6481" w:rsidRDefault="00CC308F" w:rsidP="00CC308F">
      <w:pPr>
        <w:spacing w:after="0" w:line="240" w:lineRule="auto"/>
        <w:jc w:val="both"/>
        <w:rPr>
          <w:rFonts w:ascii="Book Antiqua" w:hAnsi="Book Antiqua"/>
        </w:rPr>
      </w:pPr>
      <w:r w:rsidRPr="00535C15">
        <w:rPr>
          <w:rFonts w:ascii="Book Antiqua" w:hAnsi="Book Antiqua"/>
        </w:rPr>
        <w:t>Respecto al Tribunal de Apelación Civil y de Trabajo de la Zona Atlántica</w:t>
      </w:r>
      <w:r w:rsidR="005F6403" w:rsidRPr="00535C15">
        <w:rPr>
          <w:rFonts w:ascii="Book Antiqua" w:hAnsi="Book Antiqua"/>
        </w:rPr>
        <w:t xml:space="preserve"> aplica a partir de enero 2022 en caso de que no se prorrogue el plan de vigente en este momento en donde únicamente se mantienen 3 plazas de persona juzgadora en el Tribunal según</w:t>
      </w:r>
      <w:r w:rsidRPr="00535C15">
        <w:rPr>
          <w:rFonts w:ascii="Book Antiqua" w:hAnsi="Book Antiqua"/>
          <w:color w:val="000000" w:themeColor="text1"/>
        </w:rPr>
        <w:t xml:space="preserve"> acuerdo tomado por la Corte Plena, en sesión N° 23-2021 celebrada el 07 de junio del 2021, artículo XXI, en la cual se conoció el informe 472-PLA-MI-2021 relacionado con relacionado con los nombramientos de Jueces 5 en materia Laboral y Civil, se acordó:</w:t>
      </w:r>
      <w:r w:rsidRPr="003A6481">
        <w:rPr>
          <w:rFonts w:ascii="Book Antiqua" w:hAnsi="Book Antiqua"/>
          <w:color w:val="000000" w:themeColor="text1"/>
        </w:rPr>
        <w:t xml:space="preserve"> </w:t>
      </w:r>
    </w:p>
    <w:p w14:paraId="6DCB08B7" w14:textId="77777777" w:rsidR="00CC308F" w:rsidRDefault="00CC308F" w:rsidP="00CC308F">
      <w:pPr>
        <w:spacing w:after="120" w:line="240" w:lineRule="auto"/>
        <w:ind w:left="1417" w:right="567"/>
        <w:jc w:val="both"/>
        <w:rPr>
          <w:rFonts w:ascii="Book Antiqua" w:hAnsi="Book Antiqua"/>
          <w:i/>
          <w:iCs/>
        </w:rPr>
      </w:pPr>
    </w:p>
    <w:p w14:paraId="211A3A29" w14:textId="77777777" w:rsidR="00CC308F" w:rsidRPr="003A6481" w:rsidRDefault="00CC308F" w:rsidP="00CC308F">
      <w:pPr>
        <w:spacing w:after="120" w:line="240" w:lineRule="auto"/>
        <w:ind w:left="1417" w:right="567"/>
        <w:jc w:val="both"/>
        <w:rPr>
          <w:rFonts w:ascii="Book Antiqua" w:hAnsi="Book Antiqua"/>
          <w:i/>
          <w:iCs/>
        </w:rPr>
      </w:pPr>
      <w:r w:rsidRPr="003A6481">
        <w:rPr>
          <w:rFonts w:ascii="Book Antiqua" w:hAnsi="Book Antiqua"/>
          <w:i/>
          <w:iCs/>
        </w:rPr>
        <w:t>“…2) No publicar el concurso de la plaza de jueza o juez 5 número 378749 del Tribunal de Apelación Civil y Trabajo Zona Atlántica (sede Limón), en su lugar reasignarla por lo que resta del 2021 y como plan de trabajo temporal a categoría de “Jueza o Juez tres” con competencia a nivel nacional, de forma que colabore con una cuota mínima 20 asuntos fallados por mes. Lo anterior para que colabore en el Juzgado de Trabajo del Segundo Circuito Judicial de San José, debido a las limitaciones presupuestarias por las que atraviesa la Institución y en caso necesario y a partir del seguimiento; se determine eventualmente la necesidad de utilizar el recurso para colaborar en otro juzgado de trabajo del país. La reasignación anterior es de forma temporal, debido a que hay que valorar el impacto posterior que puede provocar los cambios de cuantía en materia laboral y el estudio que está en trámite en materia civil…”</w:t>
      </w:r>
    </w:p>
    <w:p w14:paraId="00B92686" w14:textId="7DA53236" w:rsidR="00CC308F" w:rsidRPr="008C29E1" w:rsidRDefault="00CC308F" w:rsidP="00B979AE">
      <w:pPr>
        <w:spacing w:line="276" w:lineRule="auto"/>
        <w:jc w:val="both"/>
        <w:rPr>
          <w:rFonts w:ascii="Book Antiqua" w:hAnsi="Book Antiqua"/>
        </w:rPr>
      </w:pPr>
      <w:r w:rsidRPr="008C29E1">
        <w:rPr>
          <w:rFonts w:ascii="Book Antiqua" w:hAnsi="Book Antiqua"/>
        </w:rPr>
        <w:t>Se propone una reducción de cuota del 2</w:t>
      </w:r>
      <w:r>
        <w:rPr>
          <w:rFonts w:ascii="Book Antiqua" w:hAnsi="Book Antiqua"/>
        </w:rPr>
        <w:t>5</w:t>
      </w:r>
      <w:r w:rsidRPr="008C29E1">
        <w:rPr>
          <w:rFonts w:ascii="Book Antiqua" w:hAnsi="Book Antiqua"/>
        </w:rPr>
        <w:t xml:space="preserve">% con respecto a la cuota de 17 sentencias por persona juzgadora establecida para Tribunales de Apelación de condición mixta (Civil y Trabajo), la cual se detalla a continuación. </w:t>
      </w:r>
    </w:p>
    <w:p w14:paraId="548E2281" w14:textId="77777777" w:rsidR="00367B1E" w:rsidRDefault="00367B1E" w:rsidP="00B979AE">
      <w:pPr>
        <w:spacing w:after="0" w:line="240" w:lineRule="auto"/>
        <w:jc w:val="center"/>
        <w:rPr>
          <w:rFonts w:ascii="Book Antiqua" w:eastAsia="Times New Roman" w:hAnsi="Book Antiqua" w:cs="Arial"/>
          <w:b/>
          <w:bCs/>
          <w:color w:val="1F497D" w:themeColor="text2"/>
          <w:lang w:eastAsia="es-ES"/>
        </w:rPr>
      </w:pPr>
    </w:p>
    <w:p w14:paraId="3C81191F" w14:textId="77777777" w:rsidR="00535C15" w:rsidRDefault="00535C15" w:rsidP="00B979AE">
      <w:pPr>
        <w:spacing w:after="0" w:line="240" w:lineRule="auto"/>
        <w:jc w:val="center"/>
        <w:rPr>
          <w:rFonts w:ascii="Book Antiqua" w:eastAsia="Times New Roman" w:hAnsi="Book Antiqua" w:cs="Arial"/>
          <w:b/>
          <w:bCs/>
          <w:color w:val="1F497D" w:themeColor="text2"/>
          <w:lang w:eastAsia="es-ES"/>
        </w:rPr>
      </w:pPr>
    </w:p>
    <w:p w14:paraId="018A75F3" w14:textId="77777777" w:rsidR="00535C15" w:rsidRDefault="00535C15" w:rsidP="00B979AE">
      <w:pPr>
        <w:spacing w:after="0" w:line="240" w:lineRule="auto"/>
        <w:jc w:val="center"/>
        <w:rPr>
          <w:rFonts w:ascii="Book Antiqua" w:eastAsia="Times New Roman" w:hAnsi="Book Antiqua" w:cs="Arial"/>
          <w:b/>
          <w:bCs/>
          <w:color w:val="1F497D" w:themeColor="text2"/>
          <w:lang w:eastAsia="es-ES"/>
        </w:rPr>
      </w:pPr>
    </w:p>
    <w:p w14:paraId="7D9FF837" w14:textId="77777777" w:rsidR="00535C15" w:rsidRDefault="00535C15" w:rsidP="00B979AE">
      <w:pPr>
        <w:spacing w:after="0" w:line="240" w:lineRule="auto"/>
        <w:jc w:val="center"/>
        <w:rPr>
          <w:rFonts w:ascii="Book Antiqua" w:eastAsia="Times New Roman" w:hAnsi="Book Antiqua" w:cs="Arial"/>
          <w:b/>
          <w:bCs/>
          <w:color w:val="1F497D" w:themeColor="text2"/>
          <w:lang w:eastAsia="es-ES"/>
        </w:rPr>
      </w:pPr>
    </w:p>
    <w:p w14:paraId="4642DD2A" w14:textId="37DB92EA" w:rsidR="00B979AE" w:rsidRPr="008C29E1" w:rsidRDefault="00B979AE" w:rsidP="00B979AE">
      <w:pPr>
        <w:spacing w:after="0" w:line="240" w:lineRule="auto"/>
        <w:jc w:val="center"/>
        <w:rPr>
          <w:rFonts w:ascii="Book Antiqua" w:eastAsia="Times New Roman" w:hAnsi="Book Antiqua" w:cs="Arial"/>
          <w:b/>
          <w:bCs/>
          <w:color w:val="1F497D" w:themeColor="text2"/>
          <w:lang w:eastAsia="es-ES"/>
        </w:rPr>
      </w:pPr>
      <w:r w:rsidRPr="008C29E1">
        <w:rPr>
          <w:rFonts w:ascii="Book Antiqua" w:eastAsia="Times New Roman" w:hAnsi="Book Antiqua" w:cs="Arial"/>
          <w:b/>
          <w:bCs/>
          <w:color w:val="1F497D" w:themeColor="text2"/>
          <w:lang w:eastAsia="es-ES"/>
        </w:rPr>
        <w:t xml:space="preserve">Cuadro </w:t>
      </w:r>
      <w:r w:rsidRPr="008C29E1">
        <w:rPr>
          <w:rFonts w:ascii="Book Antiqua" w:eastAsia="Times New Roman" w:hAnsi="Book Antiqua" w:cs="Arial"/>
          <w:b/>
          <w:bCs/>
          <w:color w:val="1F497D" w:themeColor="text2"/>
          <w:lang w:eastAsia="es-ES"/>
        </w:rPr>
        <w:fldChar w:fldCharType="begin"/>
      </w:r>
      <w:r w:rsidRPr="008C29E1">
        <w:rPr>
          <w:rFonts w:ascii="Book Antiqua" w:eastAsia="Times New Roman" w:hAnsi="Book Antiqua" w:cs="Arial"/>
          <w:b/>
          <w:bCs/>
          <w:color w:val="1F497D" w:themeColor="text2"/>
          <w:lang w:eastAsia="es-ES"/>
        </w:rPr>
        <w:instrText xml:space="preserve"> SEQ Cuadro \* ARABIC </w:instrText>
      </w:r>
      <w:r w:rsidRPr="008C29E1">
        <w:rPr>
          <w:rFonts w:ascii="Book Antiqua" w:eastAsia="Times New Roman" w:hAnsi="Book Antiqua" w:cs="Arial"/>
          <w:b/>
          <w:bCs/>
          <w:color w:val="1F497D" w:themeColor="text2"/>
          <w:lang w:eastAsia="es-ES"/>
        </w:rPr>
        <w:fldChar w:fldCharType="separate"/>
      </w:r>
      <w:r w:rsidR="00DB3347">
        <w:rPr>
          <w:rFonts w:ascii="Book Antiqua" w:eastAsia="Times New Roman" w:hAnsi="Book Antiqua" w:cs="Arial"/>
          <w:b/>
          <w:bCs/>
          <w:noProof/>
          <w:color w:val="1F497D" w:themeColor="text2"/>
          <w:lang w:eastAsia="es-ES"/>
        </w:rPr>
        <w:t>11</w:t>
      </w:r>
      <w:r w:rsidRPr="008C29E1">
        <w:rPr>
          <w:rFonts w:ascii="Book Antiqua" w:eastAsia="Times New Roman" w:hAnsi="Book Antiqua" w:cs="Arial"/>
          <w:b/>
          <w:bCs/>
          <w:color w:val="1F497D" w:themeColor="text2"/>
          <w:lang w:eastAsia="es-ES"/>
        </w:rPr>
        <w:fldChar w:fldCharType="end"/>
      </w:r>
    </w:p>
    <w:p w14:paraId="0E2B6DCD" w14:textId="27EF637B" w:rsidR="00B979AE" w:rsidRDefault="00B979AE" w:rsidP="00B979AE">
      <w:pPr>
        <w:keepNext/>
        <w:widowControl w:val="0"/>
        <w:autoSpaceDE w:val="0"/>
        <w:autoSpaceDN w:val="0"/>
        <w:adjustRightInd w:val="0"/>
        <w:spacing w:after="0" w:line="240" w:lineRule="auto"/>
        <w:jc w:val="center"/>
        <w:rPr>
          <w:rFonts w:ascii="Book Antiqua" w:eastAsia="Times New Roman" w:hAnsi="Book Antiqua" w:cs="Arial"/>
          <w:b/>
          <w:bCs/>
          <w:color w:val="1F497D" w:themeColor="text2"/>
          <w:lang w:eastAsia="es-ES"/>
        </w:rPr>
      </w:pPr>
      <w:r w:rsidRPr="008C29E1">
        <w:rPr>
          <w:rFonts w:ascii="Book Antiqua" w:eastAsia="Times New Roman" w:hAnsi="Book Antiqua" w:cs="Arial"/>
          <w:b/>
          <w:bCs/>
          <w:color w:val="1F497D" w:themeColor="text2"/>
          <w:lang w:eastAsia="es-ES"/>
        </w:rPr>
        <w:t>Cuota diferenciada con reducción de un 2</w:t>
      </w:r>
      <w:r>
        <w:rPr>
          <w:rFonts w:ascii="Book Antiqua" w:eastAsia="Times New Roman" w:hAnsi="Book Antiqua" w:cs="Arial"/>
          <w:b/>
          <w:bCs/>
          <w:color w:val="1F497D" w:themeColor="text2"/>
          <w:lang w:eastAsia="es-ES"/>
        </w:rPr>
        <w:t>5</w:t>
      </w:r>
      <w:r w:rsidRPr="008C29E1">
        <w:rPr>
          <w:rFonts w:ascii="Book Antiqua" w:eastAsia="Times New Roman" w:hAnsi="Book Antiqua" w:cs="Arial"/>
          <w:b/>
          <w:bCs/>
          <w:color w:val="1F497D" w:themeColor="text2"/>
          <w:lang w:eastAsia="es-ES"/>
        </w:rPr>
        <w:t>%</w:t>
      </w:r>
    </w:p>
    <w:p w14:paraId="73F3FD85" w14:textId="543262F2" w:rsidR="0032595E" w:rsidRDefault="0032595E" w:rsidP="00B979AE">
      <w:pPr>
        <w:jc w:val="both"/>
        <w:rPr>
          <w:rFonts w:ascii="Book Antiqua" w:hAnsi="Book Antiqua"/>
          <w:b/>
          <w:i/>
          <w:sz w:val="20"/>
        </w:rPr>
      </w:pPr>
    </w:p>
    <w:p w14:paraId="2C0AB236" w14:textId="77777777" w:rsidR="002A1586" w:rsidRDefault="002A1586" w:rsidP="00B979AE">
      <w:pPr>
        <w:jc w:val="both"/>
        <w:rPr>
          <w:rFonts w:ascii="Book Antiqua" w:hAnsi="Book Antiqua"/>
          <w:b/>
          <w:i/>
          <w:sz w:val="20"/>
        </w:rPr>
      </w:pPr>
    </w:p>
    <w:tbl>
      <w:tblPr>
        <w:tblW w:w="5019" w:type="pct"/>
        <w:tblBorders>
          <w:top w:val="double" w:sz="6" w:space="0" w:color="1F497D"/>
          <w:left w:val="double" w:sz="6" w:space="0" w:color="1F497D"/>
          <w:bottom w:val="double" w:sz="6" w:space="0" w:color="1F497D"/>
          <w:right w:val="double" w:sz="6" w:space="0" w:color="1F497D"/>
          <w:insideH w:val="double" w:sz="6" w:space="0" w:color="1F497D"/>
          <w:insideV w:val="double" w:sz="6" w:space="0" w:color="1F497D"/>
        </w:tblBorders>
        <w:tblCellMar>
          <w:left w:w="70" w:type="dxa"/>
          <w:right w:w="70" w:type="dxa"/>
        </w:tblCellMar>
        <w:tblLook w:val="04A0" w:firstRow="1" w:lastRow="0" w:firstColumn="1" w:lastColumn="0" w:noHBand="0" w:noVBand="1"/>
      </w:tblPr>
      <w:tblGrid>
        <w:gridCol w:w="3292"/>
        <w:gridCol w:w="924"/>
        <w:gridCol w:w="739"/>
        <w:gridCol w:w="1278"/>
        <w:gridCol w:w="1193"/>
        <w:gridCol w:w="1399"/>
      </w:tblGrid>
      <w:tr w:rsidR="00721DE1" w:rsidRPr="0032595E" w14:paraId="30599F74" w14:textId="77777777" w:rsidTr="00721DE1">
        <w:trPr>
          <w:trHeight w:val="546"/>
        </w:trPr>
        <w:tc>
          <w:tcPr>
            <w:tcW w:w="1866" w:type="pct"/>
            <w:shd w:val="clear" w:color="000000" w:fill="366092"/>
            <w:vAlign w:val="center"/>
            <w:hideMark/>
          </w:tcPr>
          <w:p w14:paraId="78E8D9E0" w14:textId="77777777" w:rsidR="0032595E" w:rsidRPr="0032595E" w:rsidRDefault="0032595E" w:rsidP="0032595E">
            <w:pPr>
              <w:spacing w:after="0" w:line="240" w:lineRule="auto"/>
              <w:jc w:val="center"/>
              <w:rPr>
                <w:rFonts w:ascii="Book Antiqua" w:eastAsia="Times New Roman" w:hAnsi="Book Antiqua" w:cs="Calibri"/>
                <w:b/>
                <w:bCs/>
                <w:color w:val="FFFFFF"/>
                <w:lang w:eastAsia="es-CR"/>
              </w:rPr>
            </w:pPr>
            <w:r w:rsidRPr="0032595E">
              <w:rPr>
                <w:rFonts w:ascii="Book Antiqua" w:eastAsia="Times New Roman" w:hAnsi="Book Antiqua" w:cs="Calibri"/>
                <w:b/>
                <w:bCs/>
                <w:color w:val="FFFFFF"/>
                <w:lang w:eastAsia="es-CR"/>
              </w:rPr>
              <w:t xml:space="preserve">Tribunal de Apelación </w:t>
            </w:r>
          </w:p>
        </w:tc>
        <w:tc>
          <w:tcPr>
            <w:tcW w:w="524" w:type="pct"/>
            <w:shd w:val="clear" w:color="000000" w:fill="366092"/>
            <w:vAlign w:val="center"/>
            <w:hideMark/>
          </w:tcPr>
          <w:p w14:paraId="17FB5D37" w14:textId="77777777" w:rsidR="0032595E" w:rsidRPr="0032595E" w:rsidRDefault="0032595E" w:rsidP="0032595E">
            <w:pPr>
              <w:spacing w:after="0" w:line="240" w:lineRule="auto"/>
              <w:jc w:val="center"/>
              <w:rPr>
                <w:rFonts w:ascii="Book Antiqua" w:eastAsia="Times New Roman" w:hAnsi="Book Antiqua" w:cs="Calibri"/>
                <w:b/>
                <w:bCs/>
                <w:color w:val="FFFFFF"/>
                <w:lang w:eastAsia="es-CR"/>
              </w:rPr>
            </w:pPr>
            <w:r w:rsidRPr="0032595E">
              <w:rPr>
                <w:rFonts w:ascii="Book Antiqua" w:eastAsia="Times New Roman" w:hAnsi="Book Antiqua" w:cs="Calibri"/>
                <w:b/>
                <w:bCs/>
                <w:color w:val="FFFFFF"/>
                <w:lang w:eastAsia="es-CR"/>
              </w:rPr>
              <w:t xml:space="preserve">Materia </w:t>
            </w:r>
          </w:p>
        </w:tc>
        <w:tc>
          <w:tcPr>
            <w:tcW w:w="419" w:type="pct"/>
            <w:shd w:val="clear" w:color="000000" w:fill="F79646"/>
            <w:vAlign w:val="center"/>
            <w:hideMark/>
          </w:tcPr>
          <w:p w14:paraId="2133BDC1" w14:textId="77777777" w:rsidR="0032595E" w:rsidRPr="0032595E" w:rsidRDefault="0032595E" w:rsidP="0032595E">
            <w:pPr>
              <w:spacing w:after="0" w:line="240" w:lineRule="auto"/>
              <w:jc w:val="center"/>
              <w:rPr>
                <w:rFonts w:ascii="Book Antiqua" w:eastAsia="Times New Roman" w:hAnsi="Book Antiqua" w:cs="Calibri"/>
                <w:b/>
                <w:bCs/>
                <w:color w:val="000000"/>
                <w:lang w:eastAsia="es-CR"/>
              </w:rPr>
            </w:pPr>
            <w:r w:rsidRPr="0032595E">
              <w:rPr>
                <w:rFonts w:ascii="Book Antiqua" w:eastAsia="Times New Roman" w:hAnsi="Book Antiqua" w:cs="Calibri"/>
                <w:b/>
                <w:bCs/>
                <w:color w:val="000000"/>
                <w:lang w:eastAsia="es-CR"/>
              </w:rPr>
              <w:t xml:space="preserve">Cuota </w:t>
            </w:r>
          </w:p>
        </w:tc>
        <w:tc>
          <w:tcPr>
            <w:tcW w:w="724" w:type="pct"/>
            <w:shd w:val="clear" w:color="000000" w:fill="366092"/>
            <w:vAlign w:val="center"/>
            <w:hideMark/>
          </w:tcPr>
          <w:p w14:paraId="5903667C" w14:textId="77777777" w:rsidR="0032595E" w:rsidRPr="0032595E" w:rsidRDefault="0032595E" w:rsidP="0032595E">
            <w:pPr>
              <w:spacing w:after="0" w:line="240" w:lineRule="auto"/>
              <w:jc w:val="center"/>
              <w:rPr>
                <w:rFonts w:ascii="Book Antiqua" w:eastAsia="Times New Roman" w:hAnsi="Book Antiqua" w:cs="Calibri"/>
                <w:b/>
                <w:bCs/>
                <w:color w:val="FFFFFF"/>
                <w:lang w:eastAsia="es-CR"/>
              </w:rPr>
            </w:pPr>
            <w:r w:rsidRPr="0032595E">
              <w:rPr>
                <w:rFonts w:ascii="Book Antiqua" w:eastAsia="Times New Roman" w:hAnsi="Book Antiqua" w:cs="Calibri"/>
                <w:b/>
                <w:bCs/>
                <w:color w:val="FFFFFF"/>
                <w:lang w:eastAsia="es-CR"/>
              </w:rPr>
              <w:t>Producción Anual</w:t>
            </w:r>
          </w:p>
        </w:tc>
        <w:tc>
          <w:tcPr>
            <w:tcW w:w="676" w:type="pct"/>
            <w:shd w:val="clear" w:color="000000" w:fill="366092"/>
            <w:vAlign w:val="center"/>
            <w:hideMark/>
          </w:tcPr>
          <w:p w14:paraId="727F86EC" w14:textId="77777777" w:rsidR="0032595E" w:rsidRPr="0032595E" w:rsidRDefault="0032595E" w:rsidP="0032595E">
            <w:pPr>
              <w:spacing w:after="0" w:line="240" w:lineRule="auto"/>
              <w:jc w:val="center"/>
              <w:rPr>
                <w:rFonts w:ascii="Book Antiqua" w:eastAsia="Times New Roman" w:hAnsi="Book Antiqua" w:cs="Calibri"/>
                <w:b/>
                <w:bCs/>
                <w:color w:val="FFFFFF"/>
                <w:lang w:eastAsia="es-CR"/>
              </w:rPr>
            </w:pPr>
            <w:r w:rsidRPr="0032595E">
              <w:rPr>
                <w:rFonts w:ascii="Book Antiqua" w:eastAsia="Times New Roman" w:hAnsi="Book Antiqua" w:cs="Calibri"/>
                <w:b/>
                <w:bCs/>
                <w:color w:val="FFFFFF"/>
                <w:lang w:eastAsia="es-CR"/>
              </w:rPr>
              <w:t>Porcentaje reducción</w:t>
            </w:r>
          </w:p>
        </w:tc>
        <w:tc>
          <w:tcPr>
            <w:tcW w:w="791" w:type="pct"/>
            <w:shd w:val="clear" w:color="000000" w:fill="F79646"/>
            <w:vAlign w:val="center"/>
            <w:hideMark/>
          </w:tcPr>
          <w:p w14:paraId="216810CF" w14:textId="77777777" w:rsidR="0032595E" w:rsidRPr="0032595E" w:rsidRDefault="0032595E" w:rsidP="0032595E">
            <w:pPr>
              <w:spacing w:after="0" w:line="240" w:lineRule="auto"/>
              <w:jc w:val="center"/>
              <w:rPr>
                <w:rFonts w:ascii="Book Antiqua" w:eastAsia="Times New Roman" w:hAnsi="Book Antiqua" w:cs="Calibri"/>
                <w:b/>
                <w:bCs/>
                <w:color w:val="000000"/>
                <w:lang w:eastAsia="es-CR"/>
              </w:rPr>
            </w:pPr>
            <w:r w:rsidRPr="0032595E">
              <w:rPr>
                <w:rFonts w:ascii="Book Antiqua" w:eastAsia="Times New Roman" w:hAnsi="Book Antiqua" w:cs="Calibri"/>
                <w:b/>
                <w:bCs/>
                <w:color w:val="000000"/>
                <w:lang w:eastAsia="es-CR"/>
              </w:rPr>
              <w:t>Cuota diferenciada</w:t>
            </w:r>
          </w:p>
        </w:tc>
      </w:tr>
      <w:tr w:rsidR="0032595E" w:rsidRPr="0032595E" w14:paraId="2733F697" w14:textId="77777777" w:rsidTr="00EB031E">
        <w:trPr>
          <w:trHeight w:val="281"/>
        </w:trPr>
        <w:tc>
          <w:tcPr>
            <w:tcW w:w="1866" w:type="pct"/>
            <w:vMerge w:val="restart"/>
            <w:shd w:val="clear" w:color="auto" w:fill="auto"/>
            <w:vAlign w:val="center"/>
            <w:hideMark/>
          </w:tcPr>
          <w:p w14:paraId="7946FF34" w14:textId="77777777" w:rsidR="0032595E" w:rsidRPr="0032595E" w:rsidRDefault="0032595E" w:rsidP="0032595E">
            <w:pPr>
              <w:spacing w:after="0" w:line="240" w:lineRule="auto"/>
              <w:rPr>
                <w:rFonts w:ascii="Book Antiqua" w:eastAsia="Times New Roman" w:hAnsi="Book Antiqua" w:cs="Calibri"/>
                <w:color w:val="000000"/>
                <w:lang w:eastAsia="es-CR"/>
              </w:rPr>
            </w:pPr>
            <w:r w:rsidRPr="0032595E">
              <w:rPr>
                <w:rFonts w:ascii="Book Antiqua" w:eastAsia="Times New Roman" w:hAnsi="Book Antiqua" w:cs="Calibri"/>
                <w:color w:val="000000"/>
                <w:lang w:eastAsia="es-CR"/>
              </w:rPr>
              <w:t xml:space="preserve"> Tribunal de Apelación Civil y Trabajo Alajuela </w:t>
            </w:r>
          </w:p>
        </w:tc>
        <w:tc>
          <w:tcPr>
            <w:tcW w:w="524" w:type="pct"/>
            <w:shd w:val="clear" w:color="auto" w:fill="auto"/>
            <w:vAlign w:val="center"/>
            <w:hideMark/>
          </w:tcPr>
          <w:p w14:paraId="33B95478" w14:textId="77777777" w:rsidR="0032595E" w:rsidRPr="0032595E" w:rsidRDefault="0032595E" w:rsidP="0032595E">
            <w:pPr>
              <w:spacing w:after="0" w:line="240" w:lineRule="auto"/>
              <w:jc w:val="right"/>
              <w:rPr>
                <w:rFonts w:ascii="Book Antiqua" w:eastAsia="Times New Roman" w:hAnsi="Book Antiqua" w:cs="Calibri"/>
                <w:b/>
                <w:bCs/>
                <w:i/>
                <w:iCs/>
                <w:color w:val="000000"/>
                <w:lang w:eastAsia="es-CR"/>
              </w:rPr>
            </w:pPr>
            <w:r w:rsidRPr="0032595E">
              <w:rPr>
                <w:rFonts w:ascii="Book Antiqua" w:eastAsia="Times New Roman" w:hAnsi="Book Antiqua" w:cs="Calibri"/>
                <w:b/>
                <w:bCs/>
                <w:i/>
                <w:iCs/>
                <w:color w:val="000000"/>
                <w:lang w:eastAsia="es-CR"/>
              </w:rPr>
              <w:t>Civil</w:t>
            </w:r>
          </w:p>
        </w:tc>
        <w:tc>
          <w:tcPr>
            <w:tcW w:w="419" w:type="pct"/>
            <w:shd w:val="clear" w:color="auto" w:fill="auto"/>
            <w:noWrap/>
            <w:vAlign w:val="center"/>
            <w:hideMark/>
          </w:tcPr>
          <w:p w14:paraId="67EA4CB1" w14:textId="77777777" w:rsidR="0032595E" w:rsidRPr="00EB031E" w:rsidRDefault="0032595E" w:rsidP="0032595E">
            <w:pPr>
              <w:spacing w:after="0" w:line="240" w:lineRule="auto"/>
              <w:jc w:val="center"/>
              <w:rPr>
                <w:rFonts w:ascii="Book Antiqua" w:eastAsia="Times New Roman" w:hAnsi="Book Antiqua" w:cs="Calibri"/>
                <w:i/>
                <w:iCs/>
                <w:color w:val="000000"/>
                <w:lang w:eastAsia="es-CR"/>
              </w:rPr>
            </w:pPr>
            <w:r w:rsidRPr="00EB031E">
              <w:rPr>
                <w:rFonts w:ascii="Book Antiqua" w:eastAsia="Times New Roman" w:hAnsi="Book Antiqua" w:cs="Calibri"/>
                <w:i/>
                <w:iCs/>
                <w:color w:val="000000"/>
                <w:lang w:eastAsia="es-CR"/>
              </w:rPr>
              <w:t>11</w:t>
            </w:r>
          </w:p>
        </w:tc>
        <w:tc>
          <w:tcPr>
            <w:tcW w:w="724" w:type="pct"/>
            <w:shd w:val="clear" w:color="auto" w:fill="auto"/>
            <w:noWrap/>
            <w:vAlign w:val="center"/>
            <w:hideMark/>
          </w:tcPr>
          <w:p w14:paraId="228D1EFC" w14:textId="289ACDCB" w:rsidR="0032595E" w:rsidRPr="00EB031E" w:rsidRDefault="0032595E" w:rsidP="0032595E">
            <w:pPr>
              <w:spacing w:after="0" w:line="240" w:lineRule="auto"/>
              <w:jc w:val="center"/>
              <w:rPr>
                <w:rFonts w:ascii="Book Antiqua" w:eastAsia="Times New Roman" w:hAnsi="Book Antiqua" w:cs="Calibri"/>
                <w:i/>
                <w:iCs/>
                <w:color w:val="000000"/>
                <w:lang w:eastAsia="es-CR"/>
              </w:rPr>
            </w:pPr>
            <w:r w:rsidRPr="00EB031E">
              <w:rPr>
                <w:rFonts w:ascii="Book Antiqua" w:eastAsia="Times New Roman" w:hAnsi="Book Antiqua" w:cs="Calibri"/>
                <w:i/>
                <w:iCs/>
                <w:color w:val="000000"/>
                <w:lang w:eastAsia="es-CR"/>
              </w:rPr>
              <w:t>12</w:t>
            </w:r>
            <w:r w:rsidR="00480105" w:rsidRPr="00EB031E">
              <w:rPr>
                <w:rFonts w:ascii="Book Antiqua" w:eastAsia="Times New Roman" w:hAnsi="Book Antiqua" w:cs="Calibri"/>
                <w:i/>
                <w:iCs/>
                <w:color w:val="000000"/>
                <w:lang w:eastAsia="es-CR"/>
              </w:rPr>
              <w:t>4</w:t>
            </w:r>
          </w:p>
        </w:tc>
        <w:tc>
          <w:tcPr>
            <w:tcW w:w="676" w:type="pct"/>
            <w:vMerge w:val="restart"/>
            <w:shd w:val="clear" w:color="auto" w:fill="auto"/>
            <w:vAlign w:val="center"/>
            <w:hideMark/>
          </w:tcPr>
          <w:p w14:paraId="1AEA669E" w14:textId="77777777" w:rsidR="0032595E" w:rsidRPr="00EB031E" w:rsidRDefault="0032595E" w:rsidP="007B0566">
            <w:pPr>
              <w:spacing w:after="0" w:line="240" w:lineRule="auto"/>
              <w:jc w:val="center"/>
              <w:rPr>
                <w:rFonts w:ascii="Book Antiqua" w:eastAsia="Times New Roman" w:hAnsi="Book Antiqua" w:cs="Calibri"/>
                <w:color w:val="000000"/>
                <w:lang w:eastAsia="es-CR"/>
              </w:rPr>
            </w:pPr>
            <w:r w:rsidRPr="00EB031E">
              <w:rPr>
                <w:rFonts w:ascii="Book Antiqua" w:eastAsia="Times New Roman" w:hAnsi="Book Antiqua" w:cs="Calibri"/>
                <w:color w:val="000000"/>
                <w:lang w:eastAsia="es-CR"/>
              </w:rPr>
              <w:t>25%</w:t>
            </w:r>
          </w:p>
        </w:tc>
        <w:tc>
          <w:tcPr>
            <w:tcW w:w="791" w:type="pct"/>
            <w:shd w:val="clear" w:color="auto" w:fill="auto"/>
            <w:noWrap/>
            <w:vAlign w:val="center"/>
            <w:hideMark/>
          </w:tcPr>
          <w:p w14:paraId="2D6F704D" w14:textId="77777777" w:rsidR="0032595E" w:rsidRPr="00EB031E" w:rsidRDefault="0032595E" w:rsidP="0032595E">
            <w:pPr>
              <w:spacing w:after="0" w:line="240" w:lineRule="auto"/>
              <w:jc w:val="center"/>
              <w:rPr>
                <w:rFonts w:ascii="Book Antiqua" w:eastAsia="Times New Roman" w:hAnsi="Book Antiqua" w:cs="Calibri"/>
                <w:i/>
                <w:iCs/>
                <w:color w:val="000000"/>
                <w:lang w:eastAsia="es-CR"/>
              </w:rPr>
            </w:pPr>
            <w:r w:rsidRPr="00EB031E">
              <w:rPr>
                <w:rFonts w:ascii="Book Antiqua" w:eastAsia="Times New Roman" w:hAnsi="Book Antiqua" w:cs="Calibri"/>
                <w:i/>
                <w:iCs/>
                <w:color w:val="000000"/>
                <w:lang w:eastAsia="es-CR"/>
              </w:rPr>
              <w:t>8</w:t>
            </w:r>
          </w:p>
        </w:tc>
      </w:tr>
      <w:tr w:rsidR="00721DE1" w:rsidRPr="0032595E" w14:paraId="01718D76" w14:textId="77777777" w:rsidTr="00721DE1">
        <w:trPr>
          <w:trHeight w:val="281"/>
        </w:trPr>
        <w:tc>
          <w:tcPr>
            <w:tcW w:w="1866" w:type="pct"/>
            <w:vMerge/>
            <w:vAlign w:val="center"/>
            <w:hideMark/>
          </w:tcPr>
          <w:p w14:paraId="0F87D6AD" w14:textId="77777777" w:rsidR="0032595E" w:rsidRPr="0032595E" w:rsidRDefault="0032595E" w:rsidP="0032595E">
            <w:pPr>
              <w:spacing w:after="0" w:line="240" w:lineRule="auto"/>
              <w:rPr>
                <w:rFonts w:ascii="Book Antiqua" w:eastAsia="Times New Roman" w:hAnsi="Book Antiqua" w:cs="Calibri"/>
                <w:color w:val="000000"/>
                <w:lang w:eastAsia="es-CR"/>
              </w:rPr>
            </w:pPr>
          </w:p>
        </w:tc>
        <w:tc>
          <w:tcPr>
            <w:tcW w:w="524" w:type="pct"/>
            <w:shd w:val="clear" w:color="auto" w:fill="auto"/>
            <w:vAlign w:val="center"/>
            <w:hideMark/>
          </w:tcPr>
          <w:p w14:paraId="694359D3" w14:textId="77777777" w:rsidR="0032595E" w:rsidRPr="0032595E" w:rsidRDefault="0032595E" w:rsidP="0032595E">
            <w:pPr>
              <w:spacing w:after="0" w:line="240" w:lineRule="auto"/>
              <w:jc w:val="right"/>
              <w:rPr>
                <w:rFonts w:ascii="Book Antiqua" w:eastAsia="Times New Roman" w:hAnsi="Book Antiqua" w:cs="Calibri"/>
                <w:b/>
                <w:bCs/>
                <w:i/>
                <w:iCs/>
                <w:color w:val="000000"/>
                <w:lang w:eastAsia="es-CR"/>
              </w:rPr>
            </w:pPr>
            <w:r w:rsidRPr="0032595E">
              <w:rPr>
                <w:rFonts w:ascii="Book Antiqua" w:eastAsia="Times New Roman" w:hAnsi="Book Antiqua" w:cs="Calibri"/>
                <w:b/>
                <w:bCs/>
                <w:i/>
                <w:iCs/>
                <w:color w:val="000000"/>
                <w:lang w:eastAsia="es-CR"/>
              </w:rPr>
              <w:t>Trabajo</w:t>
            </w:r>
          </w:p>
        </w:tc>
        <w:tc>
          <w:tcPr>
            <w:tcW w:w="419" w:type="pct"/>
            <w:shd w:val="clear" w:color="auto" w:fill="auto"/>
            <w:noWrap/>
            <w:vAlign w:val="center"/>
            <w:hideMark/>
          </w:tcPr>
          <w:p w14:paraId="57D9EF95" w14:textId="77777777" w:rsidR="0032595E" w:rsidRPr="00EB031E" w:rsidRDefault="0032595E" w:rsidP="0032595E">
            <w:pPr>
              <w:spacing w:after="0" w:line="240" w:lineRule="auto"/>
              <w:jc w:val="center"/>
              <w:rPr>
                <w:rFonts w:ascii="Book Antiqua" w:eastAsia="Times New Roman" w:hAnsi="Book Antiqua" w:cs="Calibri"/>
                <w:i/>
                <w:iCs/>
                <w:color w:val="000000"/>
                <w:lang w:eastAsia="es-CR"/>
              </w:rPr>
            </w:pPr>
            <w:r w:rsidRPr="00EB031E">
              <w:rPr>
                <w:rFonts w:ascii="Book Antiqua" w:eastAsia="Times New Roman" w:hAnsi="Book Antiqua" w:cs="Calibri"/>
                <w:i/>
                <w:iCs/>
                <w:color w:val="000000"/>
                <w:lang w:eastAsia="es-CR"/>
              </w:rPr>
              <w:t>6</w:t>
            </w:r>
          </w:p>
        </w:tc>
        <w:tc>
          <w:tcPr>
            <w:tcW w:w="724" w:type="pct"/>
            <w:shd w:val="clear" w:color="auto" w:fill="auto"/>
            <w:noWrap/>
            <w:vAlign w:val="center"/>
            <w:hideMark/>
          </w:tcPr>
          <w:p w14:paraId="5EC9119A" w14:textId="55D5A987" w:rsidR="0032595E" w:rsidRPr="00EB031E" w:rsidRDefault="00480105" w:rsidP="0032595E">
            <w:pPr>
              <w:spacing w:after="0" w:line="240" w:lineRule="auto"/>
              <w:jc w:val="center"/>
              <w:rPr>
                <w:rFonts w:ascii="Book Antiqua" w:eastAsia="Times New Roman" w:hAnsi="Book Antiqua" w:cs="Calibri"/>
                <w:i/>
                <w:iCs/>
                <w:color w:val="000000"/>
                <w:lang w:eastAsia="es-CR"/>
              </w:rPr>
            </w:pPr>
            <w:r w:rsidRPr="00EB031E">
              <w:rPr>
                <w:rFonts w:ascii="Book Antiqua" w:eastAsia="Times New Roman" w:hAnsi="Book Antiqua" w:cs="Calibri"/>
                <w:i/>
                <w:iCs/>
                <w:color w:val="000000"/>
                <w:lang w:eastAsia="es-CR"/>
              </w:rPr>
              <w:t>68</w:t>
            </w:r>
          </w:p>
        </w:tc>
        <w:tc>
          <w:tcPr>
            <w:tcW w:w="676" w:type="pct"/>
            <w:vMerge/>
            <w:vAlign w:val="center"/>
            <w:hideMark/>
          </w:tcPr>
          <w:p w14:paraId="62B51F0E" w14:textId="77777777" w:rsidR="0032595E" w:rsidRPr="00EB031E" w:rsidRDefault="0032595E" w:rsidP="00EB031E">
            <w:pPr>
              <w:spacing w:after="0" w:line="240" w:lineRule="auto"/>
              <w:jc w:val="center"/>
              <w:rPr>
                <w:rFonts w:ascii="Book Antiqua" w:eastAsia="Times New Roman" w:hAnsi="Book Antiqua" w:cs="Calibri"/>
                <w:color w:val="000000"/>
                <w:lang w:eastAsia="es-CR"/>
              </w:rPr>
            </w:pPr>
          </w:p>
        </w:tc>
        <w:tc>
          <w:tcPr>
            <w:tcW w:w="791" w:type="pct"/>
            <w:shd w:val="clear" w:color="auto" w:fill="auto"/>
            <w:noWrap/>
            <w:vAlign w:val="center"/>
            <w:hideMark/>
          </w:tcPr>
          <w:p w14:paraId="59753B52" w14:textId="77777777" w:rsidR="0032595E" w:rsidRPr="00EB031E" w:rsidRDefault="0032595E" w:rsidP="0032595E">
            <w:pPr>
              <w:spacing w:after="0" w:line="240" w:lineRule="auto"/>
              <w:jc w:val="center"/>
              <w:rPr>
                <w:rFonts w:ascii="Book Antiqua" w:eastAsia="Times New Roman" w:hAnsi="Book Antiqua" w:cs="Calibri"/>
                <w:i/>
                <w:iCs/>
                <w:color w:val="000000"/>
                <w:lang w:eastAsia="es-CR"/>
              </w:rPr>
            </w:pPr>
            <w:r w:rsidRPr="00EB031E">
              <w:rPr>
                <w:rFonts w:ascii="Book Antiqua" w:eastAsia="Times New Roman" w:hAnsi="Book Antiqua" w:cs="Calibri"/>
                <w:i/>
                <w:iCs/>
                <w:color w:val="000000"/>
                <w:lang w:eastAsia="es-CR"/>
              </w:rPr>
              <w:t>5</w:t>
            </w:r>
          </w:p>
        </w:tc>
      </w:tr>
      <w:tr w:rsidR="00D0741F" w:rsidRPr="0032595E" w14:paraId="097B1AC6" w14:textId="77777777" w:rsidTr="00EB031E">
        <w:trPr>
          <w:trHeight w:val="281"/>
        </w:trPr>
        <w:tc>
          <w:tcPr>
            <w:tcW w:w="1866" w:type="pct"/>
            <w:vMerge w:val="restart"/>
            <w:vAlign w:val="center"/>
          </w:tcPr>
          <w:p w14:paraId="6462C446" w14:textId="6E98DF04" w:rsidR="00D0741F" w:rsidRPr="0032595E" w:rsidRDefault="00721DE1" w:rsidP="000065E5">
            <w:pPr>
              <w:spacing w:after="0" w:line="240" w:lineRule="auto"/>
              <w:rPr>
                <w:rFonts w:ascii="Book Antiqua" w:eastAsia="Times New Roman" w:hAnsi="Book Antiqua" w:cs="Calibri"/>
                <w:color w:val="000000"/>
                <w:lang w:eastAsia="es-CR"/>
              </w:rPr>
            </w:pPr>
            <w:r w:rsidRPr="00721DE1">
              <w:rPr>
                <w:rFonts w:ascii="Book Antiqua" w:eastAsia="Times New Roman" w:hAnsi="Book Antiqua" w:cs="Calibri"/>
                <w:color w:val="000000"/>
                <w:lang w:eastAsia="es-CR"/>
              </w:rPr>
              <w:t>Tribunal de Apelación Civil y Trabajo Limón</w:t>
            </w:r>
          </w:p>
        </w:tc>
        <w:tc>
          <w:tcPr>
            <w:tcW w:w="524" w:type="pct"/>
            <w:shd w:val="clear" w:color="auto" w:fill="auto"/>
            <w:vAlign w:val="center"/>
          </w:tcPr>
          <w:p w14:paraId="3C10A2A6" w14:textId="1DE140E9" w:rsidR="00D0741F" w:rsidRPr="0032595E" w:rsidRDefault="00D0741F" w:rsidP="000065E5">
            <w:pPr>
              <w:spacing w:after="0" w:line="240" w:lineRule="auto"/>
              <w:jc w:val="right"/>
              <w:rPr>
                <w:rFonts w:ascii="Book Antiqua" w:eastAsia="Times New Roman" w:hAnsi="Book Antiqua" w:cs="Calibri"/>
                <w:b/>
                <w:bCs/>
                <w:i/>
                <w:iCs/>
                <w:color w:val="000000"/>
                <w:lang w:eastAsia="es-CR"/>
              </w:rPr>
            </w:pPr>
            <w:r w:rsidRPr="0032595E">
              <w:rPr>
                <w:rFonts w:ascii="Book Antiqua" w:eastAsia="Times New Roman" w:hAnsi="Book Antiqua" w:cs="Calibri"/>
                <w:b/>
                <w:bCs/>
                <w:i/>
                <w:iCs/>
                <w:color w:val="000000"/>
                <w:lang w:eastAsia="es-CR"/>
              </w:rPr>
              <w:t>Civil</w:t>
            </w:r>
          </w:p>
        </w:tc>
        <w:tc>
          <w:tcPr>
            <w:tcW w:w="419" w:type="pct"/>
            <w:shd w:val="clear" w:color="auto" w:fill="auto"/>
            <w:noWrap/>
            <w:vAlign w:val="center"/>
          </w:tcPr>
          <w:p w14:paraId="653C7F63" w14:textId="423D3BF5" w:rsidR="00D0741F" w:rsidRPr="00EB031E" w:rsidRDefault="00D0741F" w:rsidP="000065E5">
            <w:pPr>
              <w:spacing w:after="0" w:line="240" w:lineRule="auto"/>
              <w:jc w:val="center"/>
              <w:rPr>
                <w:rFonts w:ascii="Book Antiqua" w:eastAsia="Times New Roman" w:hAnsi="Book Antiqua" w:cs="Calibri"/>
                <w:i/>
                <w:iCs/>
                <w:color w:val="000000"/>
                <w:lang w:eastAsia="es-CR"/>
              </w:rPr>
            </w:pPr>
            <w:r w:rsidRPr="00EB031E">
              <w:rPr>
                <w:rFonts w:ascii="Book Antiqua" w:eastAsia="Times New Roman" w:hAnsi="Book Antiqua" w:cs="Calibri"/>
                <w:i/>
                <w:iCs/>
                <w:color w:val="000000"/>
                <w:lang w:eastAsia="es-CR"/>
              </w:rPr>
              <w:t>8</w:t>
            </w:r>
          </w:p>
        </w:tc>
        <w:tc>
          <w:tcPr>
            <w:tcW w:w="724" w:type="pct"/>
            <w:shd w:val="clear" w:color="auto" w:fill="auto"/>
            <w:noWrap/>
            <w:vAlign w:val="center"/>
          </w:tcPr>
          <w:p w14:paraId="5CEFE4EF" w14:textId="795203D2" w:rsidR="00D0741F" w:rsidRPr="00EB031E" w:rsidRDefault="00D0741F" w:rsidP="000065E5">
            <w:pPr>
              <w:spacing w:after="0" w:line="240" w:lineRule="auto"/>
              <w:jc w:val="center"/>
              <w:rPr>
                <w:rFonts w:ascii="Book Antiqua" w:eastAsia="Times New Roman" w:hAnsi="Book Antiqua" w:cs="Calibri"/>
                <w:i/>
                <w:iCs/>
                <w:color w:val="000000"/>
                <w:lang w:eastAsia="es-CR"/>
              </w:rPr>
            </w:pPr>
            <w:r w:rsidRPr="00EB031E">
              <w:rPr>
                <w:rFonts w:ascii="Book Antiqua" w:eastAsia="Times New Roman" w:hAnsi="Book Antiqua" w:cs="Calibri"/>
                <w:i/>
                <w:iCs/>
                <w:color w:val="000000"/>
                <w:lang w:eastAsia="es-CR"/>
              </w:rPr>
              <w:t>90</w:t>
            </w:r>
          </w:p>
        </w:tc>
        <w:tc>
          <w:tcPr>
            <w:tcW w:w="676" w:type="pct"/>
            <w:vMerge w:val="restart"/>
            <w:vAlign w:val="center"/>
          </w:tcPr>
          <w:p w14:paraId="7A2E9B35" w14:textId="3DFBCD33" w:rsidR="00D0741F" w:rsidRPr="00EB031E" w:rsidRDefault="00D0741F" w:rsidP="00EB031E">
            <w:pPr>
              <w:spacing w:after="0" w:line="240" w:lineRule="auto"/>
              <w:jc w:val="center"/>
              <w:rPr>
                <w:rFonts w:ascii="Book Antiqua" w:eastAsia="Times New Roman" w:hAnsi="Book Antiqua" w:cs="Calibri"/>
                <w:color w:val="000000"/>
                <w:lang w:eastAsia="es-CR"/>
              </w:rPr>
            </w:pPr>
            <w:r w:rsidRPr="00EB031E">
              <w:rPr>
                <w:rFonts w:ascii="Book Antiqua" w:eastAsia="Times New Roman" w:hAnsi="Book Antiqua" w:cs="Calibri"/>
                <w:color w:val="000000"/>
                <w:lang w:eastAsia="es-CR"/>
              </w:rPr>
              <w:t>25%</w:t>
            </w:r>
          </w:p>
        </w:tc>
        <w:tc>
          <w:tcPr>
            <w:tcW w:w="791" w:type="pct"/>
            <w:shd w:val="clear" w:color="auto" w:fill="auto"/>
            <w:noWrap/>
            <w:vAlign w:val="center"/>
          </w:tcPr>
          <w:p w14:paraId="69054028" w14:textId="7FFBFA6F" w:rsidR="00D0741F" w:rsidRPr="00EB031E" w:rsidRDefault="00D0741F" w:rsidP="000065E5">
            <w:pPr>
              <w:spacing w:after="0" w:line="240" w:lineRule="auto"/>
              <w:jc w:val="center"/>
              <w:rPr>
                <w:rFonts w:ascii="Book Antiqua" w:eastAsia="Times New Roman" w:hAnsi="Book Antiqua" w:cs="Calibri"/>
                <w:i/>
                <w:iCs/>
                <w:color w:val="000000"/>
                <w:lang w:eastAsia="es-CR"/>
              </w:rPr>
            </w:pPr>
            <w:r w:rsidRPr="00EB031E">
              <w:rPr>
                <w:rFonts w:ascii="Book Antiqua" w:eastAsia="Times New Roman" w:hAnsi="Book Antiqua" w:cs="Calibri"/>
                <w:i/>
                <w:iCs/>
                <w:color w:val="000000"/>
                <w:lang w:eastAsia="es-CR"/>
              </w:rPr>
              <w:t>6</w:t>
            </w:r>
          </w:p>
        </w:tc>
      </w:tr>
      <w:tr w:rsidR="00D0741F" w:rsidRPr="0032595E" w14:paraId="6287B4D1" w14:textId="77777777" w:rsidTr="00EB031E">
        <w:trPr>
          <w:trHeight w:val="281"/>
        </w:trPr>
        <w:tc>
          <w:tcPr>
            <w:tcW w:w="1866" w:type="pct"/>
            <w:vMerge/>
            <w:vAlign w:val="center"/>
          </w:tcPr>
          <w:p w14:paraId="433FDB3D" w14:textId="77777777" w:rsidR="00D0741F" w:rsidRPr="0032595E" w:rsidRDefault="00D0741F" w:rsidP="000065E5">
            <w:pPr>
              <w:spacing w:after="0" w:line="240" w:lineRule="auto"/>
              <w:rPr>
                <w:rFonts w:ascii="Book Antiqua" w:eastAsia="Times New Roman" w:hAnsi="Book Antiqua" w:cs="Calibri"/>
                <w:color w:val="000000"/>
                <w:lang w:eastAsia="es-CR"/>
              </w:rPr>
            </w:pPr>
          </w:p>
        </w:tc>
        <w:tc>
          <w:tcPr>
            <w:tcW w:w="524" w:type="pct"/>
            <w:shd w:val="clear" w:color="auto" w:fill="auto"/>
            <w:vAlign w:val="center"/>
          </w:tcPr>
          <w:p w14:paraId="03CA99F7" w14:textId="6583E7C9" w:rsidR="00D0741F" w:rsidRPr="0032595E" w:rsidRDefault="00D0741F" w:rsidP="000065E5">
            <w:pPr>
              <w:spacing w:after="0" w:line="240" w:lineRule="auto"/>
              <w:jc w:val="right"/>
              <w:rPr>
                <w:rFonts w:ascii="Book Antiqua" w:eastAsia="Times New Roman" w:hAnsi="Book Antiqua" w:cs="Calibri"/>
                <w:b/>
                <w:bCs/>
                <w:i/>
                <w:iCs/>
                <w:color w:val="000000"/>
                <w:lang w:eastAsia="es-CR"/>
              </w:rPr>
            </w:pPr>
            <w:r w:rsidRPr="0032595E">
              <w:rPr>
                <w:rFonts w:ascii="Book Antiqua" w:eastAsia="Times New Roman" w:hAnsi="Book Antiqua" w:cs="Calibri"/>
                <w:b/>
                <w:bCs/>
                <w:i/>
                <w:iCs/>
                <w:color w:val="000000"/>
                <w:lang w:eastAsia="es-CR"/>
              </w:rPr>
              <w:t>Trabajo</w:t>
            </w:r>
          </w:p>
        </w:tc>
        <w:tc>
          <w:tcPr>
            <w:tcW w:w="419" w:type="pct"/>
            <w:shd w:val="clear" w:color="auto" w:fill="auto"/>
            <w:noWrap/>
            <w:vAlign w:val="center"/>
          </w:tcPr>
          <w:p w14:paraId="0E81544D" w14:textId="423205EA" w:rsidR="00D0741F" w:rsidRPr="00EB031E" w:rsidRDefault="00D0741F" w:rsidP="000065E5">
            <w:pPr>
              <w:spacing w:after="0" w:line="240" w:lineRule="auto"/>
              <w:jc w:val="center"/>
              <w:rPr>
                <w:rFonts w:ascii="Book Antiqua" w:eastAsia="Times New Roman" w:hAnsi="Book Antiqua" w:cs="Calibri"/>
                <w:i/>
                <w:iCs/>
                <w:color w:val="000000"/>
                <w:lang w:eastAsia="es-CR"/>
              </w:rPr>
            </w:pPr>
            <w:r w:rsidRPr="00EB031E">
              <w:rPr>
                <w:rFonts w:ascii="Book Antiqua" w:eastAsia="Times New Roman" w:hAnsi="Book Antiqua" w:cs="Calibri"/>
                <w:i/>
                <w:iCs/>
                <w:color w:val="000000"/>
                <w:lang w:eastAsia="es-CR"/>
              </w:rPr>
              <w:t>9</w:t>
            </w:r>
          </w:p>
        </w:tc>
        <w:tc>
          <w:tcPr>
            <w:tcW w:w="724" w:type="pct"/>
            <w:shd w:val="clear" w:color="auto" w:fill="auto"/>
            <w:noWrap/>
            <w:vAlign w:val="center"/>
          </w:tcPr>
          <w:p w14:paraId="128BD0F6" w14:textId="586792A7" w:rsidR="00D0741F" w:rsidRPr="00EB031E" w:rsidRDefault="00D0741F" w:rsidP="000065E5">
            <w:pPr>
              <w:spacing w:after="0" w:line="240" w:lineRule="auto"/>
              <w:jc w:val="center"/>
              <w:rPr>
                <w:rFonts w:ascii="Book Antiqua" w:eastAsia="Times New Roman" w:hAnsi="Book Antiqua" w:cs="Calibri"/>
                <w:i/>
                <w:iCs/>
                <w:color w:val="000000"/>
                <w:lang w:eastAsia="es-CR"/>
              </w:rPr>
            </w:pPr>
            <w:r w:rsidRPr="00EB031E">
              <w:rPr>
                <w:rFonts w:ascii="Book Antiqua" w:eastAsia="Times New Roman" w:hAnsi="Book Antiqua" w:cs="Calibri"/>
                <w:i/>
                <w:iCs/>
                <w:color w:val="000000"/>
                <w:lang w:eastAsia="es-CR"/>
              </w:rPr>
              <w:t>101</w:t>
            </w:r>
          </w:p>
        </w:tc>
        <w:tc>
          <w:tcPr>
            <w:tcW w:w="676" w:type="pct"/>
            <w:vMerge/>
            <w:vAlign w:val="center"/>
          </w:tcPr>
          <w:p w14:paraId="18DC2FAE" w14:textId="77777777" w:rsidR="00D0741F" w:rsidRPr="00EB031E" w:rsidRDefault="00D0741F" w:rsidP="000065E5">
            <w:pPr>
              <w:spacing w:after="0" w:line="240" w:lineRule="auto"/>
              <w:rPr>
                <w:rFonts w:ascii="Book Antiqua" w:eastAsia="Times New Roman" w:hAnsi="Book Antiqua" w:cs="Calibri"/>
                <w:color w:val="000000"/>
                <w:lang w:eastAsia="es-CR"/>
              </w:rPr>
            </w:pPr>
          </w:p>
        </w:tc>
        <w:tc>
          <w:tcPr>
            <w:tcW w:w="791" w:type="pct"/>
            <w:shd w:val="clear" w:color="auto" w:fill="auto"/>
            <w:noWrap/>
            <w:vAlign w:val="center"/>
          </w:tcPr>
          <w:p w14:paraId="521DF689" w14:textId="00C37D86" w:rsidR="00D0741F" w:rsidRPr="00EB031E" w:rsidRDefault="00D0741F" w:rsidP="000065E5">
            <w:pPr>
              <w:spacing w:after="0" w:line="240" w:lineRule="auto"/>
              <w:jc w:val="center"/>
              <w:rPr>
                <w:rFonts w:ascii="Book Antiqua" w:eastAsia="Times New Roman" w:hAnsi="Book Antiqua" w:cs="Calibri"/>
                <w:i/>
                <w:iCs/>
                <w:color w:val="000000"/>
                <w:lang w:eastAsia="es-CR"/>
              </w:rPr>
            </w:pPr>
            <w:r w:rsidRPr="00EB031E">
              <w:rPr>
                <w:rFonts w:ascii="Book Antiqua" w:eastAsia="Times New Roman" w:hAnsi="Book Antiqua" w:cs="Calibri"/>
                <w:i/>
                <w:iCs/>
                <w:color w:val="000000"/>
                <w:lang w:eastAsia="es-CR"/>
              </w:rPr>
              <w:t>7</w:t>
            </w:r>
          </w:p>
        </w:tc>
      </w:tr>
    </w:tbl>
    <w:p w14:paraId="736665F0" w14:textId="1AB6E5FA" w:rsidR="00B979AE" w:rsidRPr="00583F34" w:rsidRDefault="00B979AE" w:rsidP="00B979AE">
      <w:pPr>
        <w:jc w:val="both"/>
        <w:rPr>
          <w:rFonts w:ascii="Book Antiqua" w:hAnsi="Book Antiqua"/>
          <w:b/>
          <w:i/>
          <w:sz w:val="20"/>
        </w:rPr>
      </w:pPr>
      <w:r w:rsidRPr="00B013E4">
        <w:rPr>
          <w:rFonts w:ascii="Book Antiqua" w:hAnsi="Book Antiqua"/>
          <w:b/>
          <w:i/>
          <w:sz w:val="20"/>
        </w:rPr>
        <w:t>Fuente</w:t>
      </w:r>
      <w:r w:rsidRPr="00583F34">
        <w:rPr>
          <w:rFonts w:ascii="Book Antiqua" w:hAnsi="Book Antiqua"/>
          <w:b/>
          <w:i/>
          <w:sz w:val="20"/>
        </w:rPr>
        <w:t>:</w:t>
      </w:r>
      <w:r w:rsidRPr="00583F34">
        <w:rPr>
          <w:rFonts w:ascii="Book Antiqua" w:eastAsia="Batang" w:hAnsi="Book Antiqua"/>
          <w:bCs/>
          <w:sz w:val="20"/>
          <w:lang w:eastAsia="ko-KR"/>
        </w:rPr>
        <w:t xml:space="preserve"> </w:t>
      </w:r>
      <w:r w:rsidR="004D2345" w:rsidRPr="003A6481">
        <w:rPr>
          <w:rFonts w:ascii="Book Antiqua" w:hAnsi="Book Antiqua"/>
          <w:bCs/>
          <w:i/>
          <w:sz w:val="20"/>
        </w:rPr>
        <w:t>Elaboración propia con base en datos del sistema SIGMA y Anuarios Judiciales, Subproceso de Modernización</w:t>
      </w:r>
      <w:r w:rsidR="004D2345" w:rsidRPr="00583F34" w:rsidDel="004D2345">
        <w:rPr>
          <w:rFonts w:ascii="Book Antiqua" w:hAnsi="Book Antiqua"/>
          <w:b/>
          <w:i/>
          <w:sz w:val="20"/>
        </w:rPr>
        <w:t xml:space="preserve"> </w:t>
      </w:r>
      <w:r>
        <w:rPr>
          <w:rFonts w:ascii="Book Antiqua" w:hAnsi="Book Antiqua"/>
          <w:b/>
          <w:i/>
          <w:sz w:val="20"/>
        </w:rPr>
        <w:t xml:space="preserve">. </w:t>
      </w:r>
    </w:p>
    <w:p w14:paraId="392C5577" w14:textId="77777777" w:rsidR="00030171" w:rsidRDefault="00030171" w:rsidP="00367B1E">
      <w:pPr>
        <w:spacing w:after="0" w:line="240" w:lineRule="auto"/>
        <w:ind w:left="-142"/>
        <w:jc w:val="both"/>
        <w:rPr>
          <w:rFonts w:ascii="Book Antiqua" w:hAnsi="Book Antiqua"/>
        </w:rPr>
      </w:pPr>
    </w:p>
    <w:p w14:paraId="2CF7908F" w14:textId="77777777" w:rsidR="00125FAB" w:rsidRPr="00AA74D3" w:rsidRDefault="00125FAB" w:rsidP="00EB031E">
      <w:pPr>
        <w:spacing w:after="0" w:line="240" w:lineRule="auto"/>
        <w:jc w:val="both"/>
        <w:rPr>
          <w:rFonts w:ascii="Book Antiqua" w:hAnsi="Book Antiqua"/>
          <w:b/>
          <w:i/>
          <w:sz w:val="20"/>
          <w:highlight w:val="yellow"/>
        </w:rPr>
      </w:pPr>
    </w:p>
    <w:p w14:paraId="4DA8AB8B" w14:textId="7A3BFA0C" w:rsidR="00B979AE" w:rsidRDefault="00B979AE" w:rsidP="00367B1E">
      <w:pPr>
        <w:spacing w:after="0" w:line="240" w:lineRule="auto"/>
        <w:jc w:val="both"/>
        <w:rPr>
          <w:rFonts w:ascii="Book Antiqua" w:hAnsi="Book Antiqua"/>
        </w:rPr>
      </w:pPr>
      <w:r w:rsidRPr="004B7F5F">
        <w:rPr>
          <w:rFonts w:ascii="Book Antiqua" w:hAnsi="Book Antiqua"/>
        </w:rPr>
        <w:t>Con una cuota diferenciada de 13 sentencias al me</w:t>
      </w:r>
      <w:r w:rsidRPr="00BE4A53">
        <w:rPr>
          <w:rFonts w:ascii="Book Antiqua" w:hAnsi="Book Antiqua"/>
        </w:rPr>
        <w:t>s</w:t>
      </w:r>
      <w:r w:rsidRPr="004B7F5F">
        <w:rPr>
          <w:rFonts w:ascii="Book Antiqua" w:hAnsi="Book Antiqua"/>
        </w:rPr>
        <w:t xml:space="preserve">, la persona juzgadora coordinadora de los Tribunales de Apelación Civil y Trabajo tendrían tiempo suficiente para la atención de asuntos administrativos del puesto de coordinador, lo cual implica que la producción de la Jueza o Juez disminuya a </w:t>
      </w:r>
      <w:r w:rsidR="00750E12" w:rsidRPr="004B7F5F">
        <w:rPr>
          <w:rFonts w:ascii="Book Antiqua" w:hAnsi="Book Antiqua"/>
        </w:rPr>
        <w:t>1</w:t>
      </w:r>
      <w:r w:rsidR="00750E12">
        <w:rPr>
          <w:rFonts w:ascii="Book Antiqua" w:hAnsi="Book Antiqua"/>
        </w:rPr>
        <w:t>4</w:t>
      </w:r>
      <w:r w:rsidR="00750E12" w:rsidRPr="004B7F5F">
        <w:rPr>
          <w:rFonts w:ascii="Book Antiqua" w:hAnsi="Book Antiqua"/>
        </w:rPr>
        <w:t xml:space="preserve">6 </w:t>
      </w:r>
      <w:r w:rsidRPr="004B7F5F">
        <w:rPr>
          <w:rFonts w:ascii="Book Antiqua" w:hAnsi="Book Antiqua"/>
        </w:rPr>
        <w:t>sentencias anuales (</w:t>
      </w:r>
      <w:r w:rsidR="00C159C6" w:rsidRPr="004B7F5F">
        <w:rPr>
          <w:rFonts w:ascii="Book Antiqua" w:hAnsi="Book Antiqua"/>
        </w:rPr>
        <w:t>4</w:t>
      </w:r>
      <w:r w:rsidR="00C159C6">
        <w:rPr>
          <w:rFonts w:ascii="Book Antiqua" w:hAnsi="Book Antiqua"/>
        </w:rPr>
        <w:t>5</w:t>
      </w:r>
      <w:r w:rsidR="00C159C6" w:rsidRPr="004B7F5F">
        <w:rPr>
          <w:rFonts w:ascii="Book Antiqua" w:hAnsi="Book Antiqua"/>
        </w:rPr>
        <w:t xml:space="preserve"> </w:t>
      </w:r>
      <w:r w:rsidRPr="004B7F5F">
        <w:rPr>
          <w:rFonts w:ascii="Book Antiqua" w:hAnsi="Book Antiqua"/>
        </w:rPr>
        <w:t xml:space="preserve">sentencias menos), de la cuota teórica esperada por Jueza o Juez de </w:t>
      </w:r>
      <w:r w:rsidR="00CE19EA">
        <w:rPr>
          <w:rFonts w:ascii="Book Antiqua" w:hAnsi="Book Antiqua"/>
        </w:rPr>
        <w:t>192</w:t>
      </w:r>
      <w:r w:rsidR="00CE19EA" w:rsidRPr="004B7F5F">
        <w:rPr>
          <w:rFonts w:ascii="Book Antiqua" w:hAnsi="Book Antiqua"/>
        </w:rPr>
        <w:t xml:space="preserve"> </w:t>
      </w:r>
      <w:r w:rsidRPr="004B7F5F">
        <w:rPr>
          <w:rFonts w:ascii="Book Antiqua" w:hAnsi="Book Antiqua"/>
        </w:rPr>
        <w:t>sentencias</w:t>
      </w:r>
      <w:r w:rsidR="00CE19EA">
        <w:rPr>
          <w:rFonts w:ascii="Book Antiqua" w:hAnsi="Book Antiqua"/>
        </w:rPr>
        <w:t xml:space="preserve"> (utilizando 11,25 meses)</w:t>
      </w:r>
      <w:r w:rsidRPr="004B7F5F">
        <w:rPr>
          <w:rFonts w:ascii="Book Antiqua" w:hAnsi="Book Antiqua"/>
        </w:rPr>
        <w:t>.</w:t>
      </w:r>
      <w:r w:rsidRPr="00317164">
        <w:rPr>
          <w:rFonts w:ascii="Book Antiqua" w:hAnsi="Book Antiqua"/>
        </w:rPr>
        <w:t xml:space="preserve"> </w:t>
      </w:r>
    </w:p>
    <w:p w14:paraId="4B665705" w14:textId="77777777" w:rsidR="00367B1E" w:rsidRPr="00317164" w:rsidRDefault="00367B1E" w:rsidP="00367B1E">
      <w:pPr>
        <w:spacing w:after="0" w:line="240" w:lineRule="auto"/>
        <w:jc w:val="both"/>
        <w:rPr>
          <w:rFonts w:ascii="Book Antiqua" w:hAnsi="Book Antiqua"/>
        </w:rPr>
      </w:pPr>
    </w:p>
    <w:p w14:paraId="660097E8" w14:textId="01F65796" w:rsidR="00DB18A0" w:rsidRDefault="00DB18A0" w:rsidP="00367B1E">
      <w:pPr>
        <w:spacing w:after="0" w:line="240" w:lineRule="auto"/>
        <w:jc w:val="both"/>
        <w:rPr>
          <w:rFonts w:ascii="Book Antiqua" w:hAnsi="Book Antiqua"/>
        </w:rPr>
      </w:pPr>
      <w:r w:rsidRPr="00317164">
        <w:rPr>
          <w:rFonts w:ascii="Book Antiqua" w:hAnsi="Book Antiqua"/>
        </w:rPr>
        <w:t xml:space="preserve">Para proponer </w:t>
      </w:r>
      <w:r w:rsidR="003504A5">
        <w:rPr>
          <w:rFonts w:ascii="Book Antiqua" w:hAnsi="Book Antiqua"/>
        </w:rPr>
        <w:t>lo anterior</w:t>
      </w:r>
      <w:r w:rsidRPr="00317164">
        <w:rPr>
          <w:rFonts w:ascii="Book Antiqua" w:hAnsi="Book Antiqua"/>
        </w:rPr>
        <w:t xml:space="preserve">, se envió a los Despachos un documento en el cual, las personas juzgadoras incluyeran las actividades que realizaban y el tiempo de duración; administrativas para las actividades de Jueza o Juez Coordinador y jurisdiccional para las funciones propias del cargo, con el objetivo de poder contar con una noción de tiempo en la inversión de las funciones como Coordinadora o Coordinador. A la fecha no se obtuvo respuesta de todos los Despachos, únicamente del Juez Coordinador del Tribunal Segundo Civil, por lo que toma en consideración. </w:t>
      </w:r>
    </w:p>
    <w:p w14:paraId="628ACE83" w14:textId="77777777" w:rsidR="00367B1E" w:rsidRDefault="00367B1E" w:rsidP="00367B1E">
      <w:pPr>
        <w:spacing w:after="0" w:line="240" w:lineRule="auto"/>
        <w:jc w:val="both"/>
        <w:rPr>
          <w:rFonts w:ascii="Book Antiqua" w:hAnsi="Book Antiqua"/>
        </w:rPr>
      </w:pPr>
    </w:p>
    <w:p w14:paraId="3575D9EF" w14:textId="0A7A8E9B" w:rsidR="00234678" w:rsidRDefault="00234678" w:rsidP="00367B1E">
      <w:pPr>
        <w:spacing w:after="0" w:line="240" w:lineRule="auto"/>
        <w:jc w:val="both"/>
        <w:rPr>
          <w:rFonts w:ascii="Book Antiqua" w:hAnsi="Book Antiqua"/>
        </w:rPr>
      </w:pPr>
      <w:r>
        <w:rPr>
          <w:rFonts w:ascii="Book Antiqua" w:hAnsi="Book Antiqua"/>
        </w:rPr>
        <w:t xml:space="preserve">Adicionalmente, </w:t>
      </w:r>
      <w:r w:rsidR="000B12F7">
        <w:rPr>
          <w:rFonts w:ascii="Book Antiqua" w:hAnsi="Book Antiqua"/>
        </w:rPr>
        <w:t xml:space="preserve">se toma en cuenta, las tareas que se deben realizar a raíz del inicio de los procesos de evaluación del desempeño que promueve </w:t>
      </w:r>
      <w:r w:rsidR="006A07A0">
        <w:rPr>
          <w:rFonts w:ascii="Book Antiqua" w:hAnsi="Book Antiqua"/>
        </w:rPr>
        <w:t xml:space="preserve">la </w:t>
      </w:r>
      <w:r w:rsidR="000B12F7">
        <w:rPr>
          <w:rFonts w:ascii="Book Antiqua" w:hAnsi="Book Antiqua"/>
        </w:rPr>
        <w:t>organización.</w:t>
      </w:r>
    </w:p>
    <w:p w14:paraId="0ADA0DCA" w14:textId="6BCE8FBF" w:rsidR="00367B1E" w:rsidRDefault="00367B1E">
      <w:pPr>
        <w:rPr>
          <w:rFonts w:ascii="Book Antiqua" w:hAnsi="Book Antiqua"/>
          <w:b/>
          <w:bCs/>
        </w:rPr>
      </w:pPr>
      <w:r>
        <w:rPr>
          <w:rFonts w:ascii="Book Antiqua" w:hAnsi="Book Antiqua"/>
          <w:b/>
          <w:bCs/>
        </w:rPr>
        <w:br w:type="page"/>
      </w:r>
    </w:p>
    <w:p w14:paraId="6E6D7DE8" w14:textId="77777777" w:rsidR="00B979AE" w:rsidRPr="00126C31" w:rsidRDefault="00B979AE" w:rsidP="00B979AE">
      <w:pPr>
        <w:rPr>
          <w:rFonts w:ascii="Book Antiqua" w:hAnsi="Book Antiqua"/>
          <w:b/>
          <w:bCs/>
        </w:rPr>
      </w:pPr>
    </w:p>
    <w:p w14:paraId="5BAC3B11" w14:textId="5F6BAD16" w:rsidR="004448DF" w:rsidRPr="005A030A" w:rsidRDefault="004448DF" w:rsidP="009C259C">
      <w:pPr>
        <w:pStyle w:val="Ttulo3"/>
        <w:numPr>
          <w:ilvl w:val="1"/>
          <w:numId w:val="16"/>
        </w:numPr>
        <w:rPr>
          <w:rFonts w:ascii="Book Antiqua" w:hAnsi="Book Antiqua"/>
          <w:b/>
          <w:bCs/>
        </w:rPr>
      </w:pPr>
      <w:r w:rsidRPr="005A030A">
        <w:rPr>
          <w:rFonts w:ascii="Book Antiqua" w:hAnsi="Book Antiqua"/>
          <w:b/>
          <w:bCs/>
        </w:rPr>
        <w:t xml:space="preserve">Solicitud de Rodrigo Campos Esquivel, Juez Coordinador del </w:t>
      </w:r>
      <w:bookmarkStart w:id="9" w:name="_Hlk63073243"/>
      <w:r w:rsidRPr="005A030A">
        <w:rPr>
          <w:rFonts w:ascii="Book Antiqua" w:hAnsi="Book Antiqua"/>
          <w:b/>
          <w:bCs/>
        </w:rPr>
        <w:t>Tribunal de Apelaciones Civil y Trabajo de Guanacaste</w:t>
      </w:r>
      <w:bookmarkEnd w:id="9"/>
      <w:r w:rsidRPr="005A030A">
        <w:rPr>
          <w:rFonts w:ascii="Book Antiqua" w:hAnsi="Book Antiqua"/>
          <w:b/>
          <w:bCs/>
        </w:rPr>
        <w:t xml:space="preserve">.  </w:t>
      </w:r>
    </w:p>
    <w:p w14:paraId="7962DA7B" w14:textId="77777777" w:rsidR="004448DF" w:rsidRDefault="004448DF" w:rsidP="004448DF">
      <w:pPr>
        <w:jc w:val="both"/>
        <w:rPr>
          <w:rFonts w:ascii="Book Antiqua" w:hAnsi="Book Antiqua"/>
          <w:color w:val="000000"/>
        </w:rPr>
      </w:pPr>
    </w:p>
    <w:p w14:paraId="32B832C2" w14:textId="77777777" w:rsidR="009B4288" w:rsidRDefault="004C02B0" w:rsidP="004448DF">
      <w:pPr>
        <w:jc w:val="both"/>
        <w:rPr>
          <w:rFonts w:ascii="Book Antiqua" w:hAnsi="Book Antiqua"/>
          <w:color w:val="000000"/>
        </w:rPr>
      </w:pPr>
      <w:r>
        <w:rPr>
          <w:rFonts w:ascii="Book Antiqua" w:hAnsi="Book Antiqua"/>
          <w:color w:val="000000"/>
        </w:rPr>
        <w:t>Relacionado con</w:t>
      </w:r>
      <w:r w:rsidR="004448DF">
        <w:rPr>
          <w:rFonts w:ascii="Book Antiqua" w:hAnsi="Book Antiqua"/>
          <w:color w:val="000000"/>
        </w:rPr>
        <w:t xml:space="preserve"> la solicitud planeada por parte de don Rodrigo Campos Esquivel, Juez Coordinador del Tribunal de Apelaciones Civil y Laboral de Guanacaste</w:t>
      </w:r>
      <w:r>
        <w:rPr>
          <w:rFonts w:ascii="Book Antiqua" w:hAnsi="Book Antiqua"/>
          <w:color w:val="000000"/>
        </w:rPr>
        <w:t xml:space="preserve"> remitida</w:t>
      </w:r>
      <w:r w:rsidR="004448DF">
        <w:rPr>
          <w:rFonts w:ascii="Book Antiqua" w:hAnsi="Book Antiqua"/>
          <w:color w:val="000000"/>
        </w:rPr>
        <w:t xml:space="preserve"> </w:t>
      </w:r>
      <w:r w:rsidR="004448DF" w:rsidRPr="00442246">
        <w:rPr>
          <w:rFonts w:ascii="Book Antiqua" w:hAnsi="Book Antiqua"/>
          <w:color w:val="000000"/>
        </w:rPr>
        <w:t xml:space="preserve">vía correo electrónico del miércoles 1 de agosto del 2018, </w:t>
      </w:r>
      <w:r>
        <w:rPr>
          <w:rFonts w:ascii="Book Antiqua" w:hAnsi="Book Antiqua"/>
          <w:color w:val="000000"/>
        </w:rPr>
        <w:t>en la que se indicó</w:t>
      </w:r>
      <w:r w:rsidR="004448DF" w:rsidRPr="007120FD">
        <w:rPr>
          <w:rFonts w:ascii="Book Antiqua" w:hAnsi="Book Antiqua"/>
          <w:color w:val="000000"/>
        </w:rPr>
        <w:t xml:space="preserve"> </w:t>
      </w:r>
      <w:r w:rsidR="004448DF" w:rsidRPr="00D73572">
        <w:rPr>
          <w:rFonts w:ascii="Book Antiqua" w:hAnsi="Book Antiqua"/>
          <w:color w:val="000000"/>
        </w:rPr>
        <w:t xml:space="preserve">“…Tribunal de Apelación Civil y Laboral de </w:t>
      </w:r>
      <w:r w:rsidR="004448DF" w:rsidRPr="0014141F">
        <w:rPr>
          <w:rFonts w:ascii="Book Antiqua" w:hAnsi="Book Antiqua"/>
          <w:color w:val="000000"/>
        </w:rPr>
        <w:t>Guanacaste</w:t>
      </w:r>
      <w:r w:rsidR="009B4288">
        <w:rPr>
          <w:rFonts w:ascii="Book Antiqua" w:hAnsi="Book Antiqua"/>
          <w:color w:val="000000"/>
        </w:rPr>
        <w:t>:</w:t>
      </w:r>
    </w:p>
    <w:p w14:paraId="37AC31A2" w14:textId="6D17522B" w:rsidR="004C02B0" w:rsidRDefault="004448DF" w:rsidP="005A030A">
      <w:pPr>
        <w:ind w:left="567" w:right="616"/>
        <w:jc w:val="both"/>
        <w:rPr>
          <w:rFonts w:ascii="Book Antiqua" w:hAnsi="Book Antiqua"/>
          <w:b/>
          <w:u w:val="single"/>
        </w:rPr>
      </w:pPr>
      <w:r w:rsidRPr="0014141F">
        <w:rPr>
          <w:rFonts w:ascii="Book Antiqua" w:hAnsi="Book Antiqua"/>
          <w:i/>
          <w:iCs/>
          <w:sz w:val="20"/>
          <w:szCs w:val="20"/>
        </w:rPr>
        <w:t xml:space="preserve"> </w:t>
      </w:r>
      <w:r w:rsidRPr="0014141F">
        <w:rPr>
          <w:rFonts w:ascii="Book Antiqua" w:hAnsi="Book Antiqua"/>
          <w:i/>
          <w:iCs/>
        </w:rPr>
        <w:t>“…</w:t>
      </w:r>
      <w:r w:rsidRPr="00442246">
        <w:rPr>
          <w:rFonts w:ascii="Book Antiqua" w:hAnsi="Book Antiqua"/>
          <w:i/>
          <w:iCs/>
        </w:rPr>
        <w:t>solicito se realice un estudio a fin de verificar la posibilidad de implementar el puesto de Juez Tramitador (a) en esta oficina. Este Despacho es de reciente creación (26 de julio del 2017</w:t>
      </w:r>
      <w:r w:rsidRPr="0014141F">
        <w:rPr>
          <w:rFonts w:ascii="Book Antiqua" w:hAnsi="Book Antiqua"/>
          <w:i/>
          <w:iCs/>
        </w:rPr>
        <w:t>), siendo que desde su inicio no se implementó dicho puesto, a pesar de la necesidad de contar con uno...”</w:t>
      </w:r>
      <w:r w:rsidRPr="00367B1E">
        <w:rPr>
          <w:rFonts w:ascii="Book Antiqua" w:hAnsi="Book Antiqua"/>
          <w:bCs/>
        </w:rPr>
        <w:t>.</w:t>
      </w:r>
      <w:r w:rsidRPr="0014141F">
        <w:rPr>
          <w:rFonts w:ascii="Book Antiqua" w:hAnsi="Book Antiqua"/>
          <w:b/>
          <w:u w:val="single"/>
        </w:rPr>
        <w:t xml:space="preserve"> </w:t>
      </w:r>
    </w:p>
    <w:p w14:paraId="6064A2AF" w14:textId="721793EF" w:rsidR="004448DF" w:rsidRDefault="004C02B0" w:rsidP="004448DF">
      <w:pPr>
        <w:jc w:val="both"/>
        <w:rPr>
          <w:rFonts w:ascii="Book Antiqua" w:hAnsi="Book Antiqua"/>
          <w:b/>
        </w:rPr>
      </w:pPr>
      <w:r>
        <w:rPr>
          <w:rFonts w:ascii="Book Antiqua" w:hAnsi="Book Antiqua"/>
        </w:rPr>
        <w:t>E</w:t>
      </w:r>
      <w:r w:rsidR="00AF3FA5">
        <w:rPr>
          <w:rFonts w:ascii="Book Antiqua" w:hAnsi="Book Antiqua"/>
        </w:rPr>
        <w:t>s</w:t>
      </w:r>
      <w:r w:rsidR="004448DF" w:rsidRPr="00442246">
        <w:rPr>
          <w:rFonts w:ascii="Book Antiqua" w:hAnsi="Book Antiqua"/>
        </w:rPr>
        <w:t xml:space="preserve"> importante indicar que mediante acta de Corte Plena Nº 023 – 2017, artículo VIII,  del  17 de Julio del 2017, en el cual se conoció el oficio 1163-PLA-2017 relacionado con la propuesta de </w:t>
      </w:r>
      <w:r w:rsidR="00AF3FA5">
        <w:rPr>
          <w:rFonts w:ascii="Book Antiqua" w:hAnsi="Book Antiqua"/>
        </w:rPr>
        <w:t xml:space="preserve">creación de tribunales </w:t>
      </w:r>
      <w:r w:rsidR="004448DF" w:rsidRPr="00442246">
        <w:rPr>
          <w:rFonts w:ascii="Book Antiqua" w:hAnsi="Book Antiqua"/>
        </w:rPr>
        <w:t>regionaliza</w:t>
      </w:r>
      <w:r w:rsidR="00AF3FA5">
        <w:rPr>
          <w:rFonts w:ascii="Book Antiqua" w:hAnsi="Book Antiqua"/>
        </w:rPr>
        <w:t>dos</w:t>
      </w:r>
      <w:r w:rsidR="004448DF" w:rsidRPr="00442246">
        <w:rPr>
          <w:rFonts w:ascii="Book Antiqua" w:hAnsi="Book Antiqua"/>
        </w:rPr>
        <w:t xml:space="preserve"> para la segunda instancia en materia Civil y Laboral y su competencia, así como </w:t>
      </w:r>
      <w:r w:rsidR="00AF3FA5">
        <w:rPr>
          <w:rFonts w:ascii="Book Antiqua" w:hAnsi="Book Antiqua"/>
        </w:rPr>
        <w:t>en el</w:t>
      </w:r>
      <w:r w:rsidR="004448DF" w:rsidRPr="0014141F">
        <w:rPr>
          <w:rFonts w:ascii="Book Antiqua" w:hAnsi="Book Antiqua"/>
        </w:rPr>
        <w:t xml:space="preserve"> acuerdo tomado por el Consejo Superior en sesión 64-17 del 6 de julio de 2017, artículo XXXII, en el que se conoció el informe de la Dirección de Planificación 1127-PLA-2017, relacionado con el estudio para determinar las cuotas de</w:t>
      </w:r>
      <w:r w:rsidR="004448DF" w:rsidRPr="00EB438A">
        <w:rPr>
          <w:rFonts w:ascii="Book Antiqua" w:hAnsi="Book Antiqua"/>
        </w:rPr>
        <w:t xml:space="preserve"> trabajo en los Tribunales que atienden las </w:t>
      </w:r>
      <w:r w:rsidR="004448DF" w:rsidRPr="0014141F">
        <w:rPr>
          <w:rFonts w:ascii="Book Antiqua" w:hAnsi="Book Antiqua"/>
        </w:rPr>
        <w:t xml:space="preserve">apelaciones en materia Laboral y Civil del país, no se </w:t>
      </w:r>
      <w:r>
        <w:rPr>
          <w:rFonts w:ascii="Book Antiqua" w:hAnsi="Book Antiqua"/>
        </w:rPr>
        <w:t xml:space="preserve">determinó </w:t>
      </w:r>
      <w:r w:rsidR="004448DF" w:rsidRPr="0014141F">
        <w:rPr>
          <w:rFonts w:ascii="Book Antiqua" w:hAnsi="Book Antiqua"/>
        </w:rPr>
        <w:t xml:space="preserve">la necesidad de </w:t>
      </w:r>
      <w:r w:rsidR="00DB18A0" w:rsidRPr="0014141F">
        <w:rPr>
          <w:rFonts w:ascii="Book Antiqua" w:hAnsi="Book Antiqua"/>
        </w:rPr>
        <w:t>asignación</w:t>
      </w:r>
      <w:r w:rsidR="004448DF" w:rsidRPr="0014141F">
        <w:rPr>
          <w:rFonts w:ascii="Book Antiqua" w:hAnsi="Book Antiqua"/>
        </w:rPr>
        <w:t xml:space="preserve"> de</w:t>
      </w:r>
      <w:r>
        <w:rPr>
          <w:rFonts w:ascii="Book Antiqua" w:hAnsi="Book Antiqua"/>
        </w:rPr>
        <w:t xml:space="preserve"> una</w:t>
      </w:r>
      <w:r w:rsidR="004448DF" w:rsidRPr="0014141F">
        <w:rPr>
          <w:rFonts w:ascii="Book Antiqua" w:hAnsi="Book Antiqua"/>
        </w:rPr>
        <w:t xml:space="preserve"> plaza de persona juzgadora</w:t>
      </w:r>
      <w:r>
        <w:rPr>
          <w:rFonts w:ascii="Book Antiqua" w:hAnsi="Book Antiqua"/>
        </w:rPr>
        <w:t xml:space="preserve"> en categoría 1</w:t>
      </w:r>
      <w:r w:rsidR="004448DF" w:rsidRPr="0014141F">
        <w:rPr>
          <w:rFonts w:ascii="Book Antiqua" w:hAnsi="Book Antiqua"/>
        </w:rPr>
        <w:t xml:space="preserve"> </w:t>
      </w:r>
      <w:r>
        <w:rPr>
          <w:rFonts w:ascii="Book Antiqua" w:hAnsi="Book Antiqua"/>
        </w:rPr>
        <w:t xml:space="preserve">(Juez o Jueza </w:t>
      </w:r>
      <w:r w:rsidR="004448DF" w:rsidRPr="0014141F">
        <w:rPr>
          <w:rFonts w:ascii="Book Antiqua" w:hAnsi="Book Antiqua"/>
        </w:rPr>
        <w:t>tramitador</w:t>
      </w:r>
      <w:r>
        <w:rPr>
          <w:rFonts w:ascii="Book Antiqua" w:hAnsi="Book Antiqua"/>
        </w:rPr>
        <w:t>)</w:t>
      </w:r>
      <w:r w:rsidR="004448DF" w:rsidRPr="0014141F">
        <w:rPr>
          <w:rFonts w:ascii="Book Antiqua" w:hAnsi="Book Antiqua"/>
        </w:rPr>
        <w:t xml:space="preserve"> para </w:t>
      </w:r>
      <w:r w:rsidR="00DB18A0">
        <w:rPr>
          <w:rFonts w:ascii="Book Antiqua" w:hAnsi="Book Antiqua"/>
        </w:rPr>
        <w:t xml:space="preserve">los </w:t>
      </w:r>
      <w:r w:rsidR="004448DF" w:rsidRPr="0014141F">
        <w:rPr>
          <w:rFonts w:ascii="Book Antiqua" w:hAnsi="Book Antiqua"/>
        </w:rPr>
        <w:t xml:space="preserve"> </w:t>
      </w:r>
      <w:r w:rsidR="004448DF" w:rsidRPr="00442246">
        <w:rPr>
          <w:rFonts w:ascii="Book Antiqua" w:hAnsi="Book Antiqua"/>
        </w:rPr>
        <w:t xml:space="preserve">Tribunal de Apelaciones Civil y Trabajo </w:t>
      </w:r>
      <w:r w:rsidR="00FE6931">
        <w:rPr>
          <w:rFonts w:ascii="Book Antiqua" w:hAnsi="Book Antiqua"/>
        </w:rPr>
        <w:t xml:space="preserve">del país, lo que incluye al Tribunal </w:t>
      </w:r>
      <w:r w:rsidR="004448DF" w:rsidRPr="00442246">
        <w:rPr>
          <w:rFonts w:ascii="Book Antiqua" w:hAnsi="Book Antiqua"/>
        </w:rPr>
        <w:t>de Guanacaste</w:t>
      </w:r>
      <w:r w:rsidR="00AF3FA5">
        <w:rPr>
          <w:rFonts w:ascii="Book Antiqua" w:hAnsi="Book Antiqua"/>
        </w:rPr>
        <w:t>, que además es un Tribunal con estructura mínima de personal</w:t>
      </w:r>
      <w:r w:rsidR="004448DF" w:rsidRPr="00442246">
        <w:rPr>
          <w:rFonts w:ascii="Book Antiqua" w:hAnsi="Book Antiqua"/>
        </w:rPr>
        <w:t>.</w:t>
      </w:r>
      <w:r w:rsidR="004448DF">
        <w:rPr>
          <w:rFonts w:ascii="Book Antiqua" w:hAnsi="Book Antiqua"/>
          <w:b/>
        </w:rPr>
        <w:t xml:space="preserve"> </w:t>
      </w:r>
      <w:r w:rsidR="00AF3FA5" w:rsidRPr="00074893">
        <w:rPr>
          <w:rFonts w:ascii="Book Antiqua" w:hAnsi="Book Antiqua"/>
          <w:bCs/>
        </w:rPr>
        <w:t xml:space="preserve">Es decir, desde su creación, no se consideró la existencia o necesidad de un juez tramitador para los tribunales </w:t>
      </w:r>
      <w:r w:rsidR="00AF3FA5" w:rsidRPr="00AF3FA5">
        <w:rPr>
          <w:rFonts w:ascii="Book Antiqua" w:hAnsi="Book Antiqua"/>
          <w:bCs/>
        </w:rPr>
        <w:t>competentes</w:t>
      </w:r>
      <w:r w:rsidR="00AF3FA5" w:rsidRPr="00001E4E">
        <w:rPr>
          <w:rFonts w:ascii="Book Antiqua" w:hAnsi="Book Antiqua"/>
          <w:bCs/>
        </w:rPr>
        <w:t xml:space="preserve"> en materia civil y de trabajo.  Las única</w:t>
      </w:r>
      <w:r w:rsidR="00AF3FA5">
        <w:rPr>
          <w:rFonts w:ascii="Book Antiqua" w:hAnsi="Book Antiqua"/>
          <w:bCs/>
        </w:rPr>
        <w:t>s</w:t>
      </w:r>
      <w:r w:rsidR="00AF3FA5" w:rsidRPr="00074893">
        <w:rPr>
          <w:rFonts w:ascii="Book Antiqua" w:hAnsi="Book Antiqua"/>
          <w:bCs/>
        </w:rPr>
        <w:t xml:space="preserve"> 2 oficinas que mantienen esa figura son los tribunales ya existentes a la fecha, especializados de San José.</w:t>
      </w:r>
      <w:r w:rsidR="00AF3FA5">
        <w:rPr>
          <w:rFonts w:ascii="Book Antiqua" w:hAnsi="Book Antiqua"/>
          <w:b/>
        </w:rPr>
        <w:t xml:space="preserve">  </w:t>
      </w:r>
    </w:p>
    <w:p w14:paraId="0FC1F31C" w14:textId="73527121" w:rsidR="004448DF" w:rsidRPr="00442246" w:rsidRDefault="004448DF" w:rsidP="004448DF">
      <w:pPr>
        <w:jc w:val="both"/>
        <w:rPr>
          <w:rFonts w:ascii="Book Antiqua" w:hAnsi="Book Antiqua"/>
        </w:rPr>
      </w:pPr>
      <w:r w:rsidRPr="00442246">
        <w:rPr>
          <w:rFonts w:ascii="Book Antiqua" w:hAnsi="Book Antiqua"/>
        </w:rPr>
        <w:t xml:space="preserve">Adicionalmente a lo antes expuesto, </w:t>
      </w:r>
      <w:r>
        <w:rPr>
          <w:rFonts w:ascii="Book Antiqua" w:hAnsi="Book Antiqua"/>
        </w:rPr>
        <w:t>según d</w:t>
      </w:r>
      <w:r w:rsidRPr="00442246">
        <w:rPr>
          <w:rFonts w:ascii="Book Antiqua" w:hAnsi="Book Antiqua"/>
        </w:rPr>
        <w:t xml:space="preserve">isposición de Corte Plena de las sesiones 27-2017 de 21 de agosto de 2017, artículo XVI, 28-2017 de 28 de agosto de 2017, artículo XV y 29-2017 de 4 setiembre de 2017, artículo XVI, </w:t>
      </w:r>
      <w:r>
        <w:rPr>
          <w:rFonts w:ascii="Book Antiqua" w:hAnsi="Book Antiqua"/>
        </w:rPr>
        <w:t xml:space="preserve">en la que se aprobaron </w:t>
      </w:r>
      <w:r w:rsidRPr="00442246">
        <w:rPr>
          <w:rFonts w:ascii="Book Antiqua" w:hAnsi="Book Antiqua"/>
        </w:rPr>
        <w:t>las medidas de contención del gasto en el Poder Judicial (circular 136-2017) y directrices giradas a la Dirección de Planificación, de potenciar la reorganización, tendientes a la implementación de modelos eficientes</w:t>
      </w:r>
      <w:r>
        <w:rPr>
          <w:rFonts w:ascii="Book Antiqua" w:hAnsi="Book Antiqua"/>
        </w:rPr>
        <w:t xml:space="preserve">, </w:t>
      </w:r>
      <w:r w:rsidR="006C3B70">
        <w:rPr>
          <w:rFonts w:ascii="Book Antiqua" w:hAnsi="Book Antiqua"/>
        </w:rPr>
        <w:t>en este momento no es viable</w:t>
      </w:r>
      <w:r>
        <w:rPr>
          <w:rFonts w:ascii="Book Antiqua" w:hAnsi="Book Antiqua"/>
        </w:rPr>
        <w:t xml:space="preserve"> la posibilidad de </w:t>
      </w:r>
      <w:r w:rsidR="006C3B70">
        <w:rPr>
          <w:rFonts w:ascii="Book Antiqua" w:hAnsi="Book Antiqua"/>
        </w:rPr>
        <w:t>asignar</w:t>
      </w:r>
      <w:r>
        <w:rPr>
          <w:rFonts w:ascii="Book Antiqua" w:hAnsi="Book Antiqua"/>
        </w:rPr>
        <w:t xml:space="preserve"> recurso humano nuevo </w:t>
      </w:r>
      <w:r w:rsidR="002B11E1">
        <w:rPr>
          <w:rFonts w:ascii="Book Antiqua" w:hAnsi="Book Antiqua"/>
        </w:rPr>
        <w:t xml:space="preserve"> para los Tribunales de Apelación Civil y Trabajo del país</w:t>
      </w:r>
      <w:r w:rsidRPr="00442246">
        <w:rPr>
          <w:rFonts w:ascii="Book Antiqua" w:hAnsi="Book Antiqua"/>
        </w:rPr>
        <w:t>.  </w:t>
      </w:r>
    </w:p>
    <w:p w14:paraId="12C0BCBA" w14:textId="77777777" w:rsidR="004448DF" w:rsidRPr="007C647E" w:rsidRDefault="004448DF" w:rsidP="004448DF">
      <w:pPr>
        <w:spacing w:line="276" w:lineRule="auto"/>
        <w:ind w:right="-37"/>
        <w:jc w:val="both"/>
        <w:rPr>
          <w:rFonts w:ascii="Book Antiqua" w:hAnsi="Book Antiqua"/>
        </w:rPr>
      </w:pPr>
    </w:p>
    <w:p w14:paraId="0DA7A92B" w14:textId="38F0EE4F" w:rsidR="00E260EA" w:rsidRPr="00D82DA9" w:rsidRDefault="00E260EA" w:rsidP="009C259C">
      <w:pPr>
        <w:pStyle w:val="Ttulo3"/>
        <w:numPr>
          <w:ilvl w:val="1"/>
          <w:numId w:val="15"/>
        </w:numPr>
        <w:rPr>
          <w:rFonts w:ascii="Book Antiqua" w:hAnsi="Book Antiqua"/>
          <w:b/>
          <w:bCs/>
        </w:rPr>
      </w:pPr>
      <w:r w:rsidRPr="00D82DA9">
        <w:rPr>
          <w:rFonts w:ascii="Book Antiqua" w:hAnsi="Book Antiqua"/>
          <w:b/>
          <w:bCs/>
        </w:rPr>
        <w:t>Análisis de especialización por materias en el Tribunal de Apelaciones Civil y Trabajo de Alajuela</w:t>
      </w:r>
    </w:p>
    <w:p w14:paraId="741180A7" w14:textId="77777777" w:rsidR="00E260EA" w:rsidRPr="002851B6" w:rsidRDefault="00E260EA" w:rsidP="00E260EA"/>
    <w:p w14:paraId="2CA9B34E" w14:textId="47EB468F" w:rsidR="00EF0425" w:rsidRDefault="00EF0425" w:rsidP="00EF0425">
      <w:pPr>
        <w:spacing w:line="276" w:lineRule="auto"/>
        <w:jc w:val="both"/>
        <w:rPr>
          <w:rFonts w:ascii="Book Antiqua" w:hAnsi="Book Antiqua"/>
        </w:rPr>
      </w:pPr>
      <w:r>
        <w:rPr>
          <w:rFonts w:ascii="Book Antiqua" w:hAnsi="Book Antiqua"/>
        </w:rPr>
        <w:t>Con relación a la solicitud de especialización por materia del Tribunal de Apelación Civil y Laboral de Alajuela indicada en el oficio 6634-18, a</w:t>
      </w:r>
      <w:r w:rsidRPr="00A81E9F">
        <w:rPr>
          <w:rFonts w:ascii="Book Antiqua" w:hAnsi="Book Antiqua"/>
        </w:rPr>
        <w:t xml:space="preserve">cuerdo tomado por el Consejo Superior del Poder Judicial, en la sesión </w:t>
      </w:r>
      <w:r w:rsidRPr="00A81E9F">
        <w:rPr>
          <w:rFonts w:ascii="Book Antiqua" w:hAnsi="Book Antiqua"/>
          <w:b/>
          <w:bCs/>
        </w:rPr>
        <w:t xml:space="preserve">N° 58-18 </w:t>
      </w:r>
      <w:r w:rsidRPr="00A81E9F">
        <w:rPr>
          <w:rFonts w:ascii="Book Antiqua" w:hAnsi="Book Antiqua"/>
          <w:bCs/>
        </w:rPr>
        <w:t>c</w:t>
      </w:r>
      <w:r w:rsidRPr="00A81E9F">
        <w:rPr>
          <w:rFonts w:ascii="Book Antiqua" w:hAnsi="Book Antiqua"/>
        </w:rPr>
        <w:t xml:space="preserve">elebrada el </w:t>
      </w:r>
      <w:r w:rsidRPr="00A81E9F">
        <w:rPr>
          <w:rFonts w:ascii="Book Antiqua" w:hAnsi="Book Antiqua"/>
          <w:b/>
        </w:rPr>
        <w:t>28</w:t>
      </w:r>
      <w:r w:rsidRPr="00A81E9F">
        <w:rPr>
          <w:rFonts w:ascii="Book Antiqua" w:hAnsi="Book Antiqua"/>
          <w:b/>
          <w:bCs/>
        </w:rPr>
        <w:t xml:space="preserve"> de junio del 2018, artículo L</w:t>
      </w:r>
      <w:r>
        <w:rPr>
          <w:rFonts w:ascii="Book Antiqua" w:hAnsi="Book Antiqua"/>
        </w:rPr>
        <w:t xml:space="preserve"> :</w:t>
      </w:r>
    </w:p>
    <w:p w14:paraId="4A5FA551" w14:textId="77777777" w:rsidR="00EF0425" w:rsidRDefault="00EF0425" w:rsidP="00EF0425">
      <w:pPr>
        <w:spacing w:line="276" w:lineRule="auto"/>
        <w:ind w:left="567" w:right="616"/>
        <w:jc w:val="both"/>
        <w:rPr>
          <w:rFonts w:ascii="Book Antiqua" w:hAnsi="Book Antiqua"/>
        </w:rPr>
      </w:pPr>
      <w:r>
        <w:rPr>
          <w:rFonts w:ascii="Book Antiqua" w:hAnsi="Book Antiqua"/>
        </w:rPr>
        <w:t>“</w:t>
      </w:r>
      <w:r w:rsidRPr="001852A1">
        <w:rPr>
          <w:rFonts w:ascii="Book Antiqua" w:hAnsi="Book Antiqua"/>
          <w:b/>
          <w:i/>
          <w:iCs/>
        </w:rPr>
        <w:t xml:space="preserve">F.1.d.) </w:t>
      </w:r>
      <w:r w:rsidRPr="009E5E7D">
        <w:rPr>
          <w:rFonts w:ascii="Book Antiqua" w:hAnsi="Book Antiqua"/>
          <w:i/>
          <w:iCs/>
        </w:rPr>
        <w:t>Deberá</w:t>
      </w:r>
      <w:r w:rsidRPr="009E5E7D">
        <w:rPr>
          <w:rFonts w:ascii="Book Antiqua" w:hAnsi="Book Antiqua"/>
          <w:b/>
          <w:i/>
          <w:iCs/>
        </w:rPr>
        <w:t xml:space="preserve"> </w:t>
      </w:r>
      <w:r w:rsidRPr="001852A1">
        <w:rPr>
          <w:rFonts w:ascii="Book Antiqua" w:hAnsi="Book Antiqua"/>
          <w:i/>
          <w:iCs/>
        </w:rPr>
        <w:t>estudiar las posibilidades de especializar por materia (civil y trabajo) al Tribunal de Apelaciones Civil y Trabajo de Alajuela</w:t>
      </w:r>
      <w:r w:rsidRPr="00D611CE">
        <w:rPr>
          <w:rFonts w:ascii="Book Antiqua" w:hAnsi="Book Antiqua"/>
          <w:i/>
          <w:iCs/>
        </w:rPr>
        <w:t>…”</w:t>
      </w:r>
    </w:p>
    <w:p w14:paraId="298D5148" w14:textId="0058C08C" w:rsidR="00E260EA" w:rsidRDefault="00EF0425" w:rsidP="00860C42">
      <w:pPr>
        <w:spacing w:line="276" w:lineRule="auto"/>
        <w:ind w:right="616"/>
        <w:jc w:val="both"/>
        <w:rPr>
          <w:rFonts w:ascii="Book Antiqua" w:hAnsi="Book Antiqua"/>
        </w:rPr>
      </w:pPr>
      <w:r>
        <w:rPr>
          <w:rFonts w:ascii="Book Antiqua" w:hAnsi="Book Antiqua"/>
        </w:rPr>
        <w:t xml:space="preserve">Es necesario presentar la siguiente información: </w:t>
      </w:r>
    </w:p>
    <w:p w14:paraId="2D73FC8B" w14:textId="6012F5E7" w:rsidR="00E260EA" w:rsidRPr="00122FFF" w:rsidRDefault="00E260EA" w:rsidP="00122FFF">
      <w:pPr>
        <w:keepNext/>
        <w:spacing w:after="0" w:line="240" w:lineRule="auto"/>
        <w:jc w:val="center"/>
        <w:rPr>
          <w:rFonts w:ascii="Book Antiqua" w:hAnsi="Book Antiqua"/>
          <w:b/>
          <w:bCs/>
          <w:color w:val="1F497D" w:themeColor="text2"/>
        </w:rPr>
      </w:pPr>
      <w:r w:rsidRPr="00122FFF">
        <w:rPr>
          <w:rFonts w:ascii="Book Antiqua" w:hAnsi="Book Antiqua"/>
          <w:b/>
          <w:bCs/>
          <w:color w:val="1F497D" w:themeColor="text2"/>
        </w:rPr>
        <w:t xml:space="preserve">Cuadro </w:t>
      </w:r>
      <w:r w:rsidRPr="00122FFF">
        <w:rPr>
          <w:rFonts w:ascii="Book Antiqua" w:hAnsi="Book Antiqua"/>
          <w:b/>
          <w:bCs/>
          <w:color w:val="1F497D" w:themeColor="text2"/>
        </w:rPr>
        <w:fldChar w:fldCharType="begin"/>
      </w:r>
      <w:r w:rsidRPr="00122FFF">
        <w:rPr>
          <w:rFonts w:ascii="Book Antiqua" w:hAnsi="Book Antiqua"/>
          <w:b/>
          <w:bCs/>
          <w:color w:val="1F497D" w:themeColor="text2"/>
        </w:rPr>
        <w:instrText xml:space="preserve"> SEQ Cuadro \* ARABIC </w:instrText>
      </w:r>
      <w:r w:rsidRPr="00122FFF">
        <w:rPr>
          <w:rFonts w:ascii="Book Antiqua" w:hAnsi="Book Antiqua"/>
          <w:b/>
          <w:bCs/>
          <w:color w:val="1F497D" w:themeColor="text2"/>
        </w:rPr>
        <w:fldChar w:fldCharType="separate"/>
      </w:r>
      <w:r w:rsidR="00DB3347" w:rsidRPr="00122FFF">
        <w:rPr>
          <w:rFonts w:ascii="Book Antiqua" w:hAnsi="Book Antiqua"/>
          <w:b/>
          <w:bCs/>
          <w:noProof/>
          <w:color w:val="1F497D" w:themeColor="text2"/>
        </w:rPr>
        <w:t>12</w:t>
      </w:r>
      <w:r w:rsidRPr="00122FFF">
        <w:rPr>
          <w:rFonts w:ascii="Book Antiqua" w:hAnsi="Book Antiqua"/>
          <w:b/>
          <w:bCs/>
          <w:color w:val="1F497D" w:themeColor="text2"/>
        </w:rPr>
        <w:fldChar w:fldCharType="end"/>
      </w:r>
    </w:p>
    <w:p w14:paraId="55AC1B9D" w14:textId="77777777" w:rsidR="00E260EA" w:rsidRDefault="00E260EA" w:rsidP="00122FFF">
      <w:pPr>
        <w:spacing w:after="0" w:line="240" w:lineRule="auto"/>
        <w:jc w:val="center"/>
        <w:rPr>
          <w:rFonts w:ascii="Book Antiqua" w:eastAsia="Times New Roman" w:hAnsi="Book Antiqua" w:cs="Arial"/>
          <w:b/>
          <w:bCs/>
          <w:color w:val="1F497D" w:themeColor="text2"/>
          <w:lang w:eastAsia="es-ES"/>
        </w:rPr>
      </w:pPr>
      <w:r>
        <w:rPr>
          <w:rFonts w:ascii="Book Antiqua" w:eastAsia="Times New Roman" w:hAnsi="Book Antiqua" w:cs="Arial"/>
          <w:b/>
          <w:bCs/>
          <w:color w:val="1F497D" w:themeColor="text2"/>
          <w:lang w:eastAsia="es-ES"/>
        </w:rPr>
        <w:t>Posibilidad de especialización de las personas juzgadoras por materia en el Tribunal de Apelación Civil y Trabajo de Alajuela</w:t>
      </w:r>
    </w:p>
    <w:tbl>
      <w:tblPr>
        <w:tblW w:w="4688" w:type="dxa"/>
        <w:tblInd w:w="13" w:type="dxa"/>
        <w:tblCellMar>
          <w:left w:w="70" w:type="dxa"/>
          <w:right w:w="70" w:type="dxa"/>
        </w:tblCellMar>
        <w:tblLook w:val="04A0" w:firstRow="1" w:lastRow="0" w:firstColumn="1" w:lastColumn="0" w:noHBand="0" w:noVBand="1"/>
      </w:tblPr>
      <w:tblGrid>
        <w:gridCol w:w="140"/>
        <w:gridCol w:w="740"/>
        <w:gridCol w:w="1227"/>
        <w:gridCol w:w="140"/>
        <w:gridCol w:w="1103"/>
        <w:gridCol w:w="140"/>
        <w:gridCol w:w="687"/>
        <w:gridCol w:w="140"/>
        <w:gridCol w:w="776"/>
        <w:gridCol w:w="140"/>
        <w:gridCol w:w="776"/>
        <w:gridCol w:w="140"/>
        <w:gridCol w:w="821"/>
        <w:gridCol w:w="140"/>
        <w:gridCol w:w="724"/>
        <w:gridCol w:w="97"/>
        <w:gridCol w:w="848"/>
      </w:tblGrid>
      <w:tr w:rsidR="00EB031E" w:rsidRPr="00773476" w14:paraId="3668A0BF" w14:textId="77777777" w:rsidTr="00EB031E">
        <w:trPr>
          <w:gridBefore w:val="1"/>
          <w:gridAfter w:val="2"/>
          <w:wAfter w:w="996" w:type="dxa"/>
          <w:trHeight w:val="713"/>
        </w:trPr>
        <w:tc>
          <w:tcPr>
            <w:tcW w:w="565" w:type="dxa"/>
            <w:tcBorders>
              <w:top w:val="double" w:sz="6" w:space="0" w:color="1F497D"/>
              <w:left w:val="double" w:sz="6" w:space="0" w:color="1F497D"/>
              <w:bottom w:val="double" w:sz="6" w:space="0" w:color="1F497D"/>
              <w:right w:val="double" w:sz="6" w:space="0" w:color="1F497D"/>
            </w:tcBorders>
            <w:shd w:val="clear" w:color="000000" w:fill="1F497D"/>
            <w:vAlign w:val="center"/>
            <w:hideMark/>
          </w:tcPr>
          <w:p w14:paraId="2BA59AA2" w14:textId="77777777" w:rsidR="00D8287F" w:rsidRPr="00EB031E" w:rsidRDefault="00D8287F" w:rsidP="00D8287F">
            <w:pPr>
              <w:spacing w:after="0" w:line="240" w:lineRule="auto"/>
              <w:jc w:val="center"/>
              <w:rPr>
                <w:rFonts w:ascii="Book Antiqua" w:eastAsia="Times New Roman" w:hAnsi="Book Antiqua" w:cs="Calibri"/>
                <w:b/>
                <w:bCs/>
                <w:color w:val="FFFFFF"/>
                <w:sz w:val="18"/>
                <w:szCs w:val="18"/>
                <w:lang w:eastAsia="es-CR"/>
              </w:rPr>
            </w:pPr>
          </w:p>
          <w:p w14:paraId="656A0102" w14:textId="77777777" w:rsidR="00D8287F" w:rsidRPr="00EB031E" w:rsidRDefault="00D8287F" w:rsidP="00D8287F">
            <w:pPr>
              <w:spacing w:after="0" w:line="240" w:lineRule="auto"/>
              <w:jc w:val="center"/>
              <w:rPr>
                <w:rFonts w:ascii="Book Antiqua" w:eastAsia="Times New Roman" w:hAnsi="Book Antiqua" w:cs="Calibri"/>
                <w:b/>
                <w:bCs/>
                <w:color w:val="FFFFFF"/>
                <w:sz w:val="18"/>
                <w:szCs w:val="18"/>
                <w:lang w:eastAsia="es-CR"/>
              </w:rPr>
            </w:pPr>
          </w:p>
          <w:p w14:paraId="79913E9E" w14:textId="0B2A00B6" w:rsidR="00D8287F" w:rsidRPr="00EB031E" w:rsidRDefault="00D8287F" w:rsidP="00D8287F">
            <w:pPr>
              <w:spacing w:after="0" w:line="240" w:lineRule="auto"/>
              <w:jc w:val="center"/>
              <w:rPr>
                <w:rFonts w:ascii="Book Antiqua" w:eastAsia="Times New Roman" w:hAnsi="Book Antiqua" w:cs="Calibri"/>
                <w:b/>
                <w:bCs/>
                <w:color w:val="FFFFFF"/>
                <w:sz w:val="18"/>
                <w:szCs w:val="18"/>
                <w:lang w:eastAsia="es-CR"/>
              </w:rPr>
            </w:pPr>
          </w:p>
        </w:tc>
        <w:tc>
          <w:tcPr>
            <w:tcW w:w="791" w:type="dxa"/>
            <w:gridSpan w:val="2"/>
            <w:tcBorders>
              <w:top w:val="double" w:sz="6" w:space="0" w:color="1F497D"/>
              <w:left w:val="nil"/>
              <w:bottom w:val="double" w:sz="6" w:space="0" w:color="1F497D"/>
              <w:right w:val="double" w:sz="6" w:space="0" w:color="1F497D"/>
            </w:tcBorders>
            <w:shd w:val="clear" w:color="000000" w:fill="1F497D"/>
            <w:vAlign w:val="center"/>
            <w:hideMark/>
          </w:tcPr>
          <w:p w14:paraId="541C1B66" w14:textId="77777777" w:rsidR="00D8287F" w:rsidRPr="00EB031E" w:rsidRDefault="00D8287F" w:rsidP="00D8287F">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Carga de Trabajo  (2018,2019,2020 y primer semestre 2021)</w:t>
            </w:r>
          </w:p>
        </w:tc>
        <w:tc>
          <w:tcPr>
            <w:tcW w:w="471" w:type="dxa"/>
            <w:gridSpan w:val="2"/>
            <w:tcBorders>
              <w:top w:val="double" w:sz="6" w:space="0" w:color="1F497D"/>
              <w:left w:val="nil"/>
              <w:bottom w:val="double" w:sz="6" w:space="0" w:color="1F497D"/>
              <w:right w:val="double" w:sz="6" w:space="0" w:color="1F497D"/>
            </w:tcBorders>
            <w:shd w:val="clear" w:color="000000" w:fill="1F497D"/>
            <w:vAlign w:val="center"/>
            <w:hideMark/>
          </w:tcPr>
          <w:p w14:paraId="5553F663" w14:textId="77777777" w:rsidR="00D8287F" w:rsidRPr="00EB031E" w:rsidRDefault="00D8287F" w:rsidP="00D8287F">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Materia</w:t>
            </w:r>
          </w:p>
        </w:tc>
        <w:tc>
          <w:tcPr>
            <w:tcW w:w="536" w:type="dxa"/>
            <w:gridSpan w:val="2"/>
            <w:tcBorders>
              <w:top w:val="double" w:sz="6" w:space="0" w:color="1F497D"/>
              <w:left w:val="nil"/>
              <w:bottom w:val="double" w:sz="6" w:space="0" w:color="1F497D"/>
              <w:right w:val="double" w:sz="6" w:space="0" w:color="1F497D"/>
            </w:tcBorders>
            <w:shd w:val="clear" w:color="000000" w:fill="1F497D"/>
            <w:vAlign w:val="center"/>
            <w:hideMark/>
          </w:tcPr>
          <w:p w14:paraId="1120281B" w14:textId="77777777" w:rsidR="00D8287F" w:rsidRPr="00EB031E" w:rsidRDefault="00D8287F" w:rsidP="00D8287F">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Cantidad por Materia</w:t>
            </w:r>
          </w:p>
        </w:tc>
        <w:tc>
          <w:tcPr>
            <w:tcW w:w="591" w:type="dxa"/>
            <w:gridSpan w:val="2"/>
            <w:tcBorders>
              <w:top w:val="double" w:sz="6" w:space="0" w:color="1F497D"/>
              <w:left w:val="nil"/>
              <w:bottom w:val="double" w:sz="6" w:space="0" w:color="1F497D"/>
              <w:right w:val="double" w:sz="6" w:space="0" w:color="1F497D"/>
            </w:tcBorders>
            <w:shd w:val="clear" w:color="000000" w:fill="1F497D"/>
            <w:vAlign w:val="center"/>
            <w:hideMark/>
          </w:tcPr>
          <w:p w14:paraId="19AF5C1E" w14:textId="77777777" w:rsidR="00D8287F" w:rsidRPr="00EB031E" w:rsidRDefault="00D8287F" w:rsidP="00D8287F">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Porcentaje</w:t>
            </w:r>
          </w:p>
        </w:tc>
        <w:tc>
          <w:tcPr>
            <w:tcW w:w="558" w:type="dxa"/>
            <w:gridSpan w:val="2"/>
            <w:tcBorders>
              <w:top w:val="double" w:sz="6" w:space="0" w:color="1F497D"/>
              <w:left w:val="nil"/>
              <w:bottom w:val="double" w:sz="6" w:space="0" w:color="1F497D"/>
              <w:right w:val="double" w:sz="6" w:space="0" w:color="1F497D"/>
            </w:tcBorders>
            <w:shd w:val="clear" w:color="000000" w:fill="1F497D"/>
            <w:vAlign w:val="center"/>
            <w:hideMark/>
          </w:tcPr>
          <w:p w14:paraId="776DA93C" w14:textId="77777777" w:rsidR="00D8287F" w:rsidRPr="00EB031E" w:rsidRDefault="00D8287F" w:rsidP="00D8287F">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Carga de Trabajo promedio Mensual</w:t>
            </w:r>
          </w:p>
        </w:tc>
        <w:tc>
          <w:tcPr>
            <w:tcW w:w="618" w:type="dxa"/>
            <w:gridSpan w:val="2"/>
            <w:tcBorders>
              <w:top w:val="double" w:sz="6" w:space="0" w:color="1F497D"/>
              <w:left w:val="nil"/>
              <w:bottom w:val="double" w:sz="6" w:space="0" w:color="1F497D"/>
              <w:right w:val="double" w:sz="6" w:space="0" w:color="1F497D"/>
            </w:tcBorders>
            <w:shd w:val="clear" w:color="000000" w:fill="1F497D"/>
            <w:vAlign w:val="center"/>
            <w:hideMark/>
          </w:tcPr>
          <w:p w14:paraId="450267CB" w14:textId="77777777" w:rsidR="00D8287F" w:rsidRPr="00EB031E" w:rsidRDefault="00D8287F" w:rsidP="00D8287F">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Cant. Personas Juzgadoras</w:t>
            </w:r>
          </w:p>
        </w:tc>
        <w:tc>
          <w:tcPr>
            <w:tcW w:w="558" w:type="dxa"/>
            <w:tcBorders>
              <w:top w:val="double" w:sz="6" w:space="0" w:color="1F497D"/>
              <w:left w:val="nil"/>
              <w:bottom w:val="double" w:sz="6" w:space="0" w:color="1F497D"/>
              <w:right w:val="double" w:sz="6" w:space="0" w:color="1F497D"/>
            </w:tcBorders>
            <w:shd w:val="clear" w:color="000000" w:fill="1F497D"/>
            <w:vAlign w:val="center"/>
            <w:hideMark/>
          </w:tcPr>
          <w:p w14:paraId="0854C079" w14:textId="77777777" w:rsidR="00D8287F" w:rsidRPr="00EB031E" w:rsidRDefault="00D8287F" w:rsidP="00D8287F">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Carga trabajo promedio Mensual por Juez</w:t>
            </w:r>
          </w:p>
        </w:tc>
      </w:tr>
      <w:tr w:rsidR="00EB031E" w:rsidRPr="00773476" w14:paraId="6027BDB8" w14:textId="77777777" w:rsidTr="00EB031E">
        <w:trPr>
          <w:gridBefore w:val="1"/>
          <w:gridAfter w:val="2"/>
          <w:wAfter w:w="996" w:type="dxa"/>
          <w:trHeight w:val="186"/>
        </w:trPr>
        <w:tc>
          <w:tcPr>
            <w:tcW w:w="565" w:type="dxa"/>
            <w:vMerge w:val="restart"/>
            <w:tcBorders>
              <w:top w:val="nil"/>
              <w:left w:val="double" w:sz="6" w:space="0" w:color="1F497D"/>
              <w:bottom w:val="double" w:sz="6" w:space="0" w:color="1F497D"/>
              <w:right w:val="double" w:sz="6" w:space="0" w:color="1F497D"/>
            </w:tcBorders>
            <w:shd w:val="clear" w:color="auto" w:fill="auto"/>
            <w:noWrap/>
            <w:vAlign w:val="center"/>
            <w:hideMark/>
          </w:tcPr>
          <w:p w14:paraId="66EBA177" w14:textId="77777777" w:rsidR="00D8287F" w:rsidRPr="00EB031E" w:rsidRDefault="00D8287F" w:rsidP="00D8287F">
            <w:pPr>
              <w:spacing w:after="0" w:line="240" w:lineRule="auto"/>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Tribunal de Apelación Civil y Trabajo de Alajuela</w:t>
            </w:r>
          </w:p>
        </w:tc>
        <w:tc>
          <w:tcPr>
            <w:tcW w:w="791" w:type="dxa"/>
            <w:gridSpan w:val="2"/>
            <w:vMerge w:val="restart"/>
            <w:tcBorders>
              <w:top w:val="nil"/>
              <w:left w:val="double" w:sz="6" w:space="0" w:color="1F497D"/>
              <w:bottom w:val="double" w:sz="6" w:space="0" w:color="1F497D"/>
              <w:right w:val="double" w:sz="6" w:space="0" w:color="1F497D"/>
            </w:tcBorders>
            <w:shd w:val="clear" w:color="auto" w:fill="auto"/>
            <w:vAlign w:val="center"/>
            <w:hideMark/>
          </w:tcPr>
          <w:p w14:paraId="789E4983" w14:textId="77777777" w:rsidR="00D8287F" w:rsidRPr="00EB031E" w:rsidRDefault="00D8287F" w:rsidP="00D8287F">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5681</w:t>
            </w:r>
          </w:p>
        </w:tc>
        <w:tc>
          <w:tcPr>
            <w:tcW w:w="471" w:type="dxa"/>
            <w:gridSpan w:val="2"/>
            <w:tcBorders>
              <w:top w:val="nil"/>
              <w:left w:val="nil"/>
              <w:bottom w:val="double" w:sz="6" w:space="0" w:color="1F497D"/>
              <w:right w:val="double" w:sz="6" w:space="0" w:color="1F497D"/>
            </w:tcBorders>
            <w:shd w:val="clear" w:color="auto" w:fill="auto"/>
            <w:vAlign w:val="center"/>
            <w:hideMark/>
          </w:tcPr>
          <w:p w14:paraId="6B772D62" w14:textId="77777777" w:rsidR="00D8287F" w:rsidRPr="00EB031E" w:rsidRDefault="00D8287F" w:rsidP="00D8287F">
            <w:pPr>
              <w:spacing w:after="0" w:line="240" w:lineRule="auto"/>
              <w:jc w:val="center"/>
              <w:rPr>
                <w:rFonts w:ascii="Book Antiqua" w:eastAsia="Times New Roman" w:hAnsi="Book Antiqua" w:cs="Calibri"/>
                <w:b/>
                <w:bCs/>
                <w:i/>
                <w:iCs/>
                <w:color w:val="000000"/>
                <w:sz w:val="18"/>
                <w:szCs w:val="18"/>
                <w:lang w:eastAsia="es-CR"/>
              </w:rPr>
            </w:pPr>
            <w:r w:rsidRPr="00EB031E">
              <w:rPr>
                <w:rFonts w:ascii="Book Antiqua" w:eastAsia="Times New Roman" w:hAnsi="Book Antiqua" w:cs="Calibri"/>
                <w:b/>
                <w:bCs/>
                <w:i/>
                <w:iCs/>
                <w:color w:val="000000"/>
                <w:sz w:val="18"/>
                <w:szCs w:val="18"/>
                <w:lang w:eastAsia="es-CR"/>
              </w:rPr>
              <w:t>Civil</w:t>
            </w:r>
          </w:p>
        </w:tc>
        <w:tc>
          <w:tcPr>
            <w:tcW w:w="536" w:type="dxa"/>
            <w:gridSpan w:val="2"/>
            <w:tcBorders>
              <w:top w:val="nil"/>
              <w:left w:val="nil"/>
              <w:bottom w:val="double" w:sz="6" w:space="0" w:color="44546A"/>
              <w:right w:val="double" w:sz="6" w:space="0" w:color="44546A"/>
            </w:tcBorders>
            <w:shd w:val="clear" w:color="auto" w:fill="auto"/>
            <w:vAlign w:val="center"/>
            <w:hideMark/>
          </w:tcPr>
          <w:p w14:paraId="5615001C" w14:textId="77777777" w:rsidR="00D8287F" w:rsidRPr="00EB031E" w:rsidRDefault="00D8287F" w:rsidP="00D8287F">
            <w:pPr>
              <w:spacing w:after="0" w:line="240" w:lineRule="auto"/>
              <w:jc w:val="center"/>
              <w:rPr>
                <w:rFonts w:ascii="Book Antiqua" w:eastAsia="Times New Roman" w:hAnsi="Book Antiqua" w:cs="Calibri"/>
                <w:b/>
                <w:bCs/>
                <w:i/>
                <w:iCs/>
                <w:color w:val="000000"/>
                <w:sz w:val="18"/>
                <w:szCs w:val="18"/>
                <w:lang w:eastAsia="es-CR"/>
              </w:rPr>
            </w:pPr>
            <w:r w:rsidRPr="00EB031E">
              <w:rPr>
                <w:rFonts w:ascii="Book Antiqua" w:eastAsia="Times New Roman" w:hAnsi="Book Antiqua" w:cs="Calibri"/>
                <w:b/>
                <w:bCs/>
                <w:i/>
                <w:iCs/>
                <w:color w:val="000000"/>
                <w:sz w:val="18"/>
                <w:szCs w:val="18"/>
                <w:lang w:eastAsia="es-CR"/>
              </w:rPr>
              <w:t>3707</w:t>
            </w:r>
          </w:p>
        </w:tc>
        <w:tc>
          <w:tcPr>
            <w:tcW w:w="591" w:type="dxa"/>
            <w:gridSpan w:val="2"/>
            <w:tcBorders>
              <w:top w:val="nil"/>
              <w:left w:val="nil"/>
              <w:bottom w:val="double" w:sz="6" w:space="0" w:color="1F497D"/>
              <w:right w:val="double" w:sz="6" w:space="0" w:color="1F497D"/>
            </w:tcBorders>
            <w:shd w:val="clear" w:color="auto" w:fill="auto"/>
            <w:vAlign w:val="center"/>
            <w:hideMark/>
          </w:tcPr>
          <w:p w14:paraId="7EB22795" w14:textId="77777777" w:rsidR="00D8287F" w:rsidRPr="00EB031E" w:rsidRDefault="00D8287F" w:rsidP="00D8287F">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65%</w:t>
            </w:r>
          </w:p>
        </w:tc>
        <w:tc>
          <w:tcPr>
            <w:tcW w:w="558" w:type="dxa"/>
            <w:gridSpan w:val="2"/>
            <w:tcBorders>
              <w:top w:val="nil"/>
              <w:left w:val="nil"/>
              <w:bottom w:val="double" w:sz="6" w:space="0" w:color="1F497D"/>
              <w:right w:val="double" w:sz="6" w:space="0" w:color="1F497D"/>
            </w:tcBorders>
            <w:shd w:val="clear" w:color="auto" w:fill="auto"/>
            <w:vAlign w:val="center"/>
            <w:hideMark/>
          </w:tcPr>
          <w:p w14:paraId="13A5712C" w14:textId="77777777" w:rsidR="00D8287F" w:rsidRPr="00EB031E" w:rsidRDefault="00D8287F" w:rsidP="00D8287F">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94</w:t>
            </w:r>
          </w:p>
        </w:tc>
        <w:tc>
          <w:tcPr>
            <w:tcW w:w="618" w:type="dxa"/>
            <w:gridSpan w:val="2"/>
            <w:tcBorders>
              <w:top w:val="nil"/>
              <w:left w:val="nil"/>
              <w:bottom w:val="double" w:sz="6" w:space="0" w:color="1F497D"/>
              <w:right w:val="double" w:sz="6" w:space="0" w:color="1F497D"/>
            </w:tcBorders>
            <w:shd w:val="clear" w:color="auto" w:fill="auto"/>
            <w:vAlign w:val="center"/>
            <w:hideMark/>
          </w:tcPr>
          <w:p w14:paraId="4CF36A25" w14:textId="77777777" w:rsidR="00D8287F" w:rsidRPr="00EB031E" w:rsidRDefault="00D8287F" w:rsidP="00D8287F">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w:t>
            </w:r>
          </w:p>
        </w:tc>
        <w:tc>
          <w:tcPr>
            <w:tcW w:w="558" w:type="dxa"/>
            <w:tcBorders>
              <w:top w:val="nil"/>
              <w:left w:val="nil"/>
              <w:bottom w:val="double" w:sz="6" w:space="0" w:color="1F497D"/>
              <w:right w:val="double" w:sz="6" w:space="0" w:color="1F497D"/>
            </w:tcBorders>
            <w:shd w:val="clear" w:color="auto" w:fill="auto"/>
            <w:vAlign w:val="center"/>
            <w:hideMark/>
          </w:tcPr>
          <w:p w14:paraId="313BDA05" w14:textId="77777777" w:rsidR="00D8287F" w:rsidRPr="00EB031E" w:rsidRDefault="00D8287F" w:rsidP="00D8287F">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31</w:t>
            </w:r>
          </w:p>
        </w:tc>
      </w:tr>
      <w:tr w:rsidR="00EB031E" w:rsidRPr="00773476" w14:paraId="1612B570" w14:textId="77777777" w:rsidTr="00EB031E">
        <w:trPr>
          <w:gridBefore w:val="1"/>
          <w:gridAfter w:val="2"/>
          <w:wAfter w:w="996" w:type="dxa"/>
          <w:trHeight w:val="186"/>
        </w:trPr>
        <w:tc>
          <w:tcPr>
            <w:tcW w:w="565" w:type="dxa"/>
            <w:vMerge/>
            <w:tcBorders>
              <w:top w:val="nil"/>
              <w:left w:val="double" w:sz="6" w:space="0" w:color="1F497D"/>
              <w:bottom w:val="double" w:sz="6" w:space="0" w:color="1F497D"/>
              <w:right w:val="double" w:sz="6" w:space="0" w:color="1F497D"/>
            </w:tcBorders>
            <w:vAlign w:val="center"/>
            <w:hideMark/>
          </w:tcPr>
          <w:p w14:paraId="6FA615C1" w14:textId="77777777" w:rsidR="00D8287F" w:rsidRPr="00EB031E" w:rsidRDefault="00D8287F" w:rsidP="00D8287F">
            <w:pPr>
              <w:spacing w:after="0" w:line="240" w:lineRule="auto"/>
              <w:rPr>
                <w:rFonts w:ascii="Book Antiqua" w:eastAsia="Times New Roman" w:hAnsi="Book Antiqua" w:cs="Calibri"/>
                <w:color w:val="000000"/>
                <w:sz w:val="18"/>
                <w:szCs w:val="18"/>
                <w:lang w:eastAsia="es-CR"/>
              </w:rPr>
            </w:pPr>
          </w:p>
        </w:tc>
        <w:tc>
          <w:tcPr>
            <w:tcW w:w="791" w:type="dxa"/>
            <w:gridSpan w:val="2"/>
            <w:vMerge/>
            <w:tcBorders>
              <w:top w:val="nil"/>
              <w:left w:val="double" w:sz="6" w:space="0" w:color="1F497D"/>
              <w:bottom w:val="double" w:sz="6" w:space="0" w:color="1F497D"/>
              <w:right w:val="double" w:sz="6" w:space="0" w:color="1F497D"/>
            </w:tcBorders>
            <w:vAlign w:val="center"/>
            <w:hideMark/>
          </w:tcPr>
          <w:p w14:paraId="519D8C1E" w14:textId="77777777" w:rsidR="00D8287F" w:rsidRPr="00EB031E" w:rsidRDefault="00D8287F" w:rsidP="00D8287F">
            <w:pPr>
              <w:spacing w:after="0" w:line="240" w:lineRule="auto"/>
              <w:rPr>
                <w:rFonts w:ascii="Book Antiqua" w:eastAsia="Times New Roman" w:hAnsi="Book Antiqua" w:cs="Calibri"/>
                <w:color w:val="000000"/>
                <w:sz w:val="18"/>
                <w:szCs w:val="18"/>
                <w:lang w:eastAsia="es-CR"/>
              </w:rPr>
            </w:pPr>
          </w:p>
        </w:tc>
        <w:tc>
          <w:tcPr>
            <w:tcW w:w="471" w:type="dxa"/>
            <w:gridSpan w:val="2"/>
            <w:tcBorders>
              <w:top w:val="nil"/>
              <w:left w:val="nil"/>
              <w:bottom w:val="double" w:sz="6" w:space="0" w:color="1F497D"/>
              <w:right w:val="double" w:sz="6" w:space="0" w:color="1F497D"/>
            </w:tcBorders>
            <w:shd w:val="clear" w:color="auto" w:fill="auto"/>
            <w:vAlign w:val="center"/>
            <w:hideMark/>
          </w:tcPr>
          <w:p w14:paraId="2415303E" w14:textId="77777777" w:rsidR="00D8287F" w:rsidRPr="00EB031E" w:rsidRDefault="00D8287F" w:rsidP="00D8287F">
            <w:pPr>
              <w:spacing w:after="0" w:line="240" w:lineRule="auto"/>
              <w:jc w:val="center"/>
              <w:rPr>
                <w:rFonts w:ascii="Book Antiqua" w:eastAsia="Times New Roman" w:hAnsi="Book Antiqua" w:cs="Calibri"/>
                <w:b/>
                <w:bCs/>
                <w:i/>
                <w:iCs/>
                <w:color w:val="000000"/>
                <w:sz w:val="18"/>
                <w:szCs w:val="18"/>
                <w:lang w:eastAsia="es-CR"/>
              </w:rPr>
            </w:pPr>
            <w:r w:rsidRPr="00EB031E">
              <w:rPr>
                <w:rFonts w:ascii="Book Antiqua" w:eastAsia="Times New Roman" w:hAnsi="Book Antiqua" w:cs="Calibri"/>
                <w:b/>
                <w:bCs/>
                <w:i/>
                <w:iCs/>
                <w:color w:val="000000"/>
                <w:sz w:val="18"/>
                <w:szCs w:val="18"/>
                <w:lang w:eastAsia="es-CR"/>
              </w:rPr>
              <w:t>Trabajo</w:t>
            </w:r>
          </w:p>
        </w:tc>
        <w:tc>
          <w:tcPr>
            <w:tcW w:w="536" w:type="dxa"/>
            <w:gridSpan w:val="2"/>
            <w:tcBorders>
              <w:top w:val="nil"/>
              <w:left w:val="nil"/>
              <w:bottom w:val="double" w:sz="6" w:space="0" w:color="44546A"/>
              <w:right w:val="double" w:sz="6" w:space="0" w:color="44546A"/>
            </w:tcBorders>
            <w:shd w:val="clear" w:color="auto" w:fill="auto"/>
            <w:vAlign w:val="center"/>
            <w:hideMark/>
          </w:tcPr>
          <w:p w14:paraId="5BE89017" w14:textId="77777777" w:rsidR="00D8287F" w:rsidRPr="00EB031E" w:rsidRDefault="00D8287F" w:rsidP="00D8287F">
            <w:pPr>
              <w:spacing w:after="0" w:line="240" w:lineRule="auto"/>
              <w:jc w:val="center"/>
              <w:rPr>
                <w:rFonts w:ascii="Book Antiqua" w:eastAsia="Times New Roman" w:hAnsi="Book Antiqua" w:cs="Calibri"/>
                <w:b/>
                <w:bCs/>
                <w:i/>
                <w:iCs/>
                <w:color w:val="000000"/>
                <w:sz w:val="18"/>
                <w:szCs w:val="18"/>
                <w:lang w:eastAsia="es-CR"/>
              </w:rPr>
            </w:pPr>
            <w:r w:rsidRPr="00EB031E">
              <w:rPr>
                <w:rFonts w:ascii="Book Antiqua" w:eastAsia="Times New Roman" w:hAnsi="Book Antiqua" w:cs="Calibri"/>
                <w:b/>
                <w:bCs/>
                <w:i/>
                <w:iCs/>
                <w:color w:val="000000"/>
                <w:sz w:val="18"/>
                <w:szCs w:val="18"/>
                <w:lang w:eastAsia="es-CR"/>
              </w:rPr>
              <w:t>1974</w:t>
            </w:r>
          </w:p>
        </w:tc>
        <w:tc>
          <w:tcPr>
            <w:tcW w:w="591" w:type="dxa"/>
            <w:gridSpan w:val="2"/>
            <w:tcBorders>
              <w:top w:val="nil"/>
              <w:left w:val="nil"/>
              <w:bottom w:val="double" w:sz="6" w:space="0" w:color="1F497D"/>
              <w:right w:val="double" w:sz="6" w:space="0" w:color="1F497D"/>
            </w:tcBorders>
            <w:shd w:val="clear" w:color="auto" w:fill="auto"/>
            <w:vAlign w:val="center"/>
            <w:hideMark/>
          </w:tcPr>
          <w:p w14:paraId="03ECACD5" w14:textId="77777777" w:rsidR="00D8287F" w:rsidRPr="00EB031E" w:rsidRDefault="00D8287F" w:rsidP="00D8287F">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35%</w:t>
            </w:r>
          </w:p>
        </w:tc>
        <w:tc>
          <w:tcPr>
            <w:tcW w:w="558" w:type="dxa"/>
            <w:gridSpan w:val="2"/>
            <w:tcBorders>
              <w:top w:val="nil"/>
              <w:left w:val="nil"/>
              <w:bottom w:val="double" w:sz="6" w:space="0" w:color="1F497D"/>
              <w:right w:val="double" w:sz="6" w:space="0" w:color="1F497D"/>
            </w:tcBorders>
            <w:shd w:val="clear" w:color="auto" w:fill="auto"/>
            <w:vAlign w:val="center"/>
            <w:hideMark/>
          </w:tcPr>
          <w:p w14:paraId="29AF1F21" w14:textId="77777777" w:rsidR="00D8287F" w:rsidRPr="00EB031E" w:rsidRDefault="00D8287F" w:rsidP="00D8287F">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50</w:t>
            </w:r>
          </w:p>
        </w:tc>
        <w:tc>
          <w:tcPr>
            <w:tcW w:w="618" w:type="dxa"/>
            <w:gridSpan w:val="2"/>
            <w:tcBorders>
              <w:top w:val="nil"/>
              <w:left w:val="nil"/>
              <w:bottom w:val="double" w:sz="6" w:space="0" w:color="1F497D"/>
              <w:right w:val="double" w:sz="6" w:space="0" w:color="1F497D"/>
            </w:tcBorders>
            <w:shd w:val="clear" w:color="auto" w:fill="auto"/>
            <w:vAlign w:val="center"/>
            <w:hideMark/>
          </w:tcPr>
          <w:p w14:paraId="3E49EDDC" w14:textId="77777777" w:rsidR="00D8287F" w:rsidRPr="00EB031E" w:rsidRDefault="00D8287F" w:rsidP="00D8287F">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w:t>
            </w:r>
          </w:p>
        </w:tc>
        <w:tc>
          <w:tcPr>
            <w:tcW w:w="558" w:type="dxa"/>
            <w:tcBorders>
              <w:top w:val="nil"/>
              <w:left w:val="nil"/>
              <w:bottom w:val="double" w:sz="6" w:space="0" w:color="1F497D"/>
              <w:right w:val="double" w:sz="6" w:space="0" w:color="1F497D"/>
            </w:tcBorders>
            <w:shd w:val="clear" w:color="auto" w:fill="auto"/>
            <w:vAlign w:val="center"/>
            <w:hideMark/>
          </w:tcPr>
          <w:p w14:paraId="3536E598" w14:textId="77777777" w:rsidR="00D8287F" w:rsidRPr="00EB031E" w:rsidRDefault="00D8287F" w:rsidP="00D8287F">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17</w:t>
            </w:r>
          </w:p>
        </w:tc>
      </w:tr>
      <w:tr w:rsidR="00D82DA9" w:rsidRPr="000F6C40" w14:paraId="71C008A2" w14:textId="77777777" w:rsidTr="00D82DA9">
        <w:trPr>
          <w:trHeight w:val="713"/>
        </w:trPr>
        <w:tc>
          <w:tcPr>
            <w:tcW w:w="1603" w:type="dxa"/>
            <w:gridSpan w:val="3"/>
            <w:tcBorders>
              <w:top w:val="double" w:sz="6" w:space="0" w:color="1F497D"/>
              <w:left w:val="double" w:sz="6" w:space="0" w:color="1F497D"/>
              <w:bottom w:val="double" w:sz="6" w:space="0" w:color="1F497D"/>
              <w:right w:val="double" w:sz="6" w:space="0" w:color="1F497D"/>
            </w:tcBorders>
            <w:shd w:val="clear" w:color="000000" w:fill="1F497D"/>
            <w:vAlign w:val="center"/>
            <w:hideMark/>
          </w:tcPr>
          <w:p w14:paraId="4B6A1492" w14:textId="77777777" w:rsidR="000F6C40" w:rsidRPr="00EB031E" w:rsidRDefault="000F6C40">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Despacho</w:t>
            </w:r>
          </w:p>
        </w:tc>
        <w:tc>
          <w:tcPr>
            <w:tcW w:w="1451" w:type="dxa"/>
            <w:gridSpan w:val="2"/>
            <w:tcBorders>
              <w:top w:val="double" w:sz="6" w:space="0" w:color="1F497D"/>
              <w:left w:val="nil"/>
              <w:bottom w:val="double" w:sz="6" w:space="0" w:color="1F497D"/>
              <w:right w:val="double" w:sz="6" w:space="0" w:color="1F497D"/>
            </w:tcBorders>
            <w:shd w:val="clear" w:color="000000" w:fill="1F497D"/>
            <w:vAlign w:val="center"/>
            <w:hideMark/>
          </w:tcPr>
          <w:p w14:paraId="3FA408EB" w14:textId="77777777" w:rsidR="000F6C40" w:rsidRPr="00EB031E" w:rsidRDefault="000F6C40">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Carga de Trabajo  (2018,2019,2020 y primer semestre 2021)</w:t>
            </w:r>
          </w:p>
        </w:tc>
        <w:tc>
          <w:tcPr>
            <w:tcW w:w="814" w:type="dxa"/>
            <w:gridSpan w:val="2"/>
            <w:tcBorders>
              <w:top w:val="double" w:sz="6" w:space="0" w:color="1F497D"/>
              <w:left w:val="nil"/>
              <w:bottom w:val="double" w:sz="6" w:space="0" w:color="1F497D"/>
              <w:right w:val="double" w:sz="6" w:space="0" w:color="1F497D"/>
            </w:tcBorders>
            <w:shd w:val="clear" w:color="000000" w:fill="1F497D"/>
            <w:vAlign w:val="center"/>
            <w:hideMark/>
          </w:tcPr>
          <w:p w14:paraId="12F6FE15" w14:textId="77777777" w:rsidR="000F6C40" w:rsidRPr="00EB031E" w:rsidRDefault="000F6C40">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Materia</w:t>
            </w:r>
          </w:p>
        </w:tc>
        <w:tc>
          <w:tcPr>
            <w:tcW w:w="943" w:type="dxa"/>
            <w:gridSpan w:val="2"/>
            <w:tcBorders>
              <w:top w:val="double" w:sz="6" w:space="0" w:color="1F497D"/>
              <w:left w:val="nil"/>
              <w:bottom w:val="double" w:sz="6" w:space="0" w:color="1F497D"/>
              <w:right w:val="double" w:sz="6" w:space="0" w:color="1F497D"/>
            </w:tcBorders>
            <w:shd w:val="clear" w:color="000000" w:fill="1F497D"/>
            <w:vAlign w:val="center"/>
            <w:hideMark/>
          </w:tcPr>
          <w:p w14:paraId="287E35E2" w14:textId="77777777" w:rsidR="000F6C40" w:rsidRPr="00EB031E" w:rsidRDefault="000F6C40">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Cantidad por Materia</w:t>
            </w:r>
          </w:p>
        </w:tc>
        <w:tc>
          <w:tcPr>
            <w:tcW w:w="1051" w:type="dxa"/>
            <w:gridSpan w:val="2"/>
            <w:tcBorders>
              <w:top w:val="double" w:sz="6" w:space="0" w:color="1F497D"/>
              <w:left w:val="nil"/>
              <w:bottom w:val="double" w:sz="6" w:space="0" w:color="1F497D"/>
              <w:right w:val="double" w:sz="6" w:space="0" w:color="1F497D"/>
            </w:tcBorders>
            <w:shd w:val="clear" w:color="000000" w:fill="1F497D"/>
            <w:vAlign w:val="center"/>
            <w:hideMark/>
          </w:tcPr>
          <w:p w14:paraId="0CE5F92B" w14:textId="77777777" w:rsidR="000F6C40" w:rsidRPr="00EB031E" w:rsidRDefault="000F6C40">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Porcentaje</w:t>
            </w:r>
          </w:p>
        </w:tc>
        <w:tc>
          <w:tcPr>
            <w:tcW w:w="987" w:type="dxa"/>
            <w:gridSpan w:val="2"/>
            <w:tcBorders>
              <w:top w:val="double" w:sz="6" w:space="0" w:color="1F497D"/>
              <w:left w:val="nil"/>
              <w:bottom w:val="double" w:sz="6" w:space="0" w:color="1F497D"/>
              <w:right w:val="double" w:sz="6" w:space="0" w:color="1F497D"/>
            </w:tcBorders>
            <w:shd w:val="clear" w:color="000000" w:fill="1F497D"/>
            <w:vAlign w:val="center"/>
            <w:hideMark/>
          </w:tcPr>
          <w:p w14:paraId="6D94A6D5" w14:textId="77777777" w:rsidR="000F6C40" w:rsidRPr="00EB031E" w:rsidRDefault="000F6C40">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Carga de Trabajo promedio Mensual</w:t>
            </w:r>
          </w:p>
        </w:tc>
        <w:tc>
          <w:tcPr>
            <w:tcW w:w="1106" w:type="dxa"/>
            <w:gridSpan w:val="3"/>
            <w:tcBorders>
              <w:top w:val="double" w:sz="6" w:space="0" w:color="1F497D"/>
              <w:left w:val="nil"/>
              <w:bottom w:val="double" w:sz="6" w:space="0" w:color="1F497D"/>
              <w:right w:val="double" w:sz="6" w:space="0" w:color="1F497D"/>
            </w:tcBorders>
            <w:shd w:val="clear" w:color="000000" w:fill="1F497D"/>
            <w:vAlign w:val="center"/>
            <w:hideMark/>
          </w:tcPr>
          <w:p w14:paraId="7AD12CC4" w14:textId="77777777" w:rsidR="000F6C40" w:rsidRPr="00EB031E" w:rsidRDefault="000F6C40">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Cant. Personas Juzgadoras</w:t>
            </w:r>
          </w:p>
        </w:tc>
        <w:tc>
          <w:tcPr>
            <w:tcW w:w="987" w:type="dxa"/>
            <w:tcBorders>
              <w:top w:val="double" w:sz="6" w:space="0" w:color="1F497D"/>
              <w:left w:val="nil"/>
              <w:bottom w:val="double" w:sz="6" w:space="0" w:color="1F497D"/>
              <w:right w:val="double" w:sz="6" w:space="0" w:color="1F497D"/>
            </w:tcBorders>
            <w:shd w:val="clear" w:color="000000" w:fill="1F497D"/>
            <w:vAlign w:val="center"/>
            <w:hideMark/>
          </w:tcPr>
          <w:p w14:paraId="45AF50EA" w14:textId="77777777" w:rsidR="000F6C40" w:rsidRPr="00EB031E" w:rsidRDefault="000F6C40">
            <w:pPr>
              <w:spacing w:after="0" w:line="240" w:lineRule="auto"/>
              <w:jc w:val="center"/>
              <w:rPr>
                <w:rFonts w:ascii="Book Antiqua" w:eastAsia="Times New Roman" w:hAnsi="Book Antiqua" w:cs="Calibri"/>
                <w:b/>
                <w:bCs/>
                <w:color w:val="FFFFFF"/>
                <w:sz w:val="18"/>
                <w:szCs w:val="18"/>
                <w:lang w:eastAsia="es-CR"/>
              </w:rPr>
            </w:pPr>
            <w:r w:rsidRPr="00EB031E">
              <w:rPr>
                <w:rFonts w:ascii="Book Antiqua" w:eastAsia="Times New Roman" w:hAnsi="Book Antiqua" w:cs="Calibri"/>
                <w:b/>
                <w:bCs/>
                <w:color w:val="FFFFFF"/>
                <w:sz w:val="18"/>
                <w:szCs w:val="18"/>
                <w:lang w:eastAsia="es-CR"/>
              </w:rPr>
              <w:t>Carga trabajo promedio Mensual por Juez</w:t>
            </w:r>
          </w:p>
        </w:tc>
      </w:tr>
      <w:tr w:rsidR="00EB031E" w:rsidRPr="000F6C40" w14:paraId="4B5B0A50" w14:textId="77777777" w:rsidTr="00EB031E">
        <w:trPr>
          <w:trHeight w:val="186"/>
        </w:trPr>
        <w:tc>
          <w:tcPr>
            <w:tcW w:w="1603" w:type="dxa"/>
            <w:gridSpan w:val="3"/>
            <w:vMerge w:val="restart"/>
            <w:tcBorders>
              <w:top w:val="nil"/>
              <w:left w:val="double" w:sz="6" w:space="0" w:color="1F497D"/>
              <w:bottom w:val="double" w:sz="6" w:space="0" w:color="1F497D"/>
              <w:right w:val="double" w:sz="6" w:space="0" w:color="1F497D"/>
            </w:tcBorders>
            <w:shd w:val="clear" w:color="auto" w:fill="auto"/>
            <w:noWrap/>
            <w:vAlign w:val="center"/>
            <w:hideMark/>
          </w:tcPr>
          <w:p w14:paraId="6F1810B5" w14:textId="77777777" w:rsidR="000F6C40" w:rsidRPr="00EB031E" w:rsidRDefault="000F6C40" w:rsidP="00EB031E">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Tribunal de Apelación Civil y Trabajo de Alajuela</w:t>
            </w:r>
          </w:p>
        </w:tc>
        <w:tc>
          <w:tcPr>
            <w:tcW w:w="1451" w:type="dxa"/>
            <w:gridSpan w:val="2"/>
            <w:vMerge w:val="restart"/>
            <w:tcBorders>
              <w:top w:val="nil"/>
              <w:left w:val="double" w:sz="6" w:space="0" w:color="1F497D"/>
              <w:bottom w:val="double" w:sz="6" w:space="0" w:color="1F497D"/>
              <w:right w:val="double" w:sz="6" w:space="0" w:color="1F497D"/>
            </w:tcBorders>
            <w:shd w:val="clear" w:color="auto" w:fill="auto"/>
            <w:vAlign w:val="center"/>
            <w:hideMark/>
          </w:tcPr>
          <w:p w14:paraId="0945D24A" w14:textId="77777777" w:rsidR="000F6C40" w:rsidRPr="00EB031E" w:rsidRDefault="000F6C40" w:rsidP="00D82DA9">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5681</w:t>
            </w:r>
          </w:p>
        </w:tc>
        <w:tc>
          <w:tcPr>
            <w:tcW w:w="814" w:type="dxa"/>
            <w:gridSpan w:val="2"/>
            <w:tcBorders>
              <w:top w:val="nil"/>
              <w:left w:val="nil"/>
              <w:bottom w:val="double" w:sz="6" w:space="0" w:color="1F497D"/>
              <w:right w:val="double" w:sz="6" w:space="0" w:color="1F497D"/>
            </w:tcBorders>
            <w:shd w:val="clear" w:color="auto" w:fill="auto"/>
            <w:vAlign w:val="center"/>
            <w:hideMark/>
          </w:tcPr>
          <w:p w14:paraId="56A10EF6" w14:textId="77777777" w:rsidR="000F6C40" w:rsidRPr="00EB031E" w:rsidRDefault="000F6C40" w:rsidP="00D82DA9">
            <w:pPr>
              <w:spacing w:after="0" w:line="240" w:lineRule="auto"/>
              <w:jc w:val="center"/>
              <w:rPr>
                <w:rFonts w:ascii="Book Antiqua" w:eastAsia="Times New Roman" w:hAnsi="Book Antiqua" w:cs="Calibri"/>
                <w:b/>
                <w:bCs/>
                <w:i/>
                <w:iCs/>
                <w:color w:val="000000"/>
                <w:sz w:val="18"/>
                <w:szCs w:val="18"/>
                <w:lang w:eastAsia="es-CR"/>
              </w:rPr>
            </w:pPr>
            <w:r w:rsidRPr="00EB031E">
              <w:rPr>
                <w:rFonts w:ascii="Book Antiqua" w:eastAsia="Times New Roman" w:hAnsi="Book Antiqua" w:cs="Calibri"/>
                <w:b/>
                <w:bCs/>
                <w:i/>
                <w:iCs/>
                <w:color w:val="000000"/>
                <w:sz w:val="18"/>
                <w:szCs w:val="18"/>
                <w:lang w:eastAsia="es-CR"/>
              </w:rPr>
              <w:t>Civil</w:t>
            </w:r>
          </w:p>
        </w:tc>
        <w:tc>
          <w:tcPr>
            <w:tcW w:w="943" w:type="dxa"/>
            <w:gridSpan w:val="2"/>
            <w:tcBorders>
              <w:top w:val="nil"/>
              <w:left w:val="nil"/>
              <w:bottom w:val="double" w:sz="6" w:space="0" w:color="44546A"/>
              <w:right w:val="double" w:sz="6" w:space="0" w:color="44546A"/>
            </w:tcBorders>
            <w:shd w:val="clear" w:color="auto" w:fill="auto"/>
            <w:vAlign w:val="center"/>
            <w:hideMark/>
          </w:tcPr>
          <w:p w14:paraId="7BC7E867" w14:textId="77777777" w:rsidR="000F6C40" w:rsidRPr="00EB031E" w:rsidRDefault="000F6C40" w:rsidP="00EF1E24">
            <w:pPr>
              <w:spacing w:after="0" w:line="240" w:lineRule="auto"/>
              <w:jc w:val="center"/>
              <w:rPr>
                <w:rFonts w:ascii="Book Antiqua" w:eastAsia="Times New Roman" w:hAnsi="Book Antiqua" w:cs="Calibri"/>
                <w:b/>
                <w:bCs/>
                <w:i/>
                <w:iCs/>
                <w:color w:val="000000"/>
                <w:sz w:val="18"/>
                <w:szCs w:val="18"/>
                <w:lang w:eastAsia="es-CR"/>
              </w:rPr>
            </w:pPr>
            <w:r w:rsidRPr="00EB031E">
              <w:rPr>
                <w:rFonts w:ascii="Book Antiqua" w:eastAsia="Times New Roman" w:hAnsi="Book Antiqua" w:cs="Calibri"/>
                <w:b/>
                <w:bCs/>
                <w:i/>
                <w:iCs/>
                <w:color w:val="000000"/>
                <w:sz w:val="18"/>
                <w:szCs w:val="18"/>
                <w:lang w:eastAsia="es-CR"/>
              </w:rPr>
              <w:t>3707</w:t>
            </w:r>
          </w:p>
        </w:tc>
        <w:tc>
          <w:tcPr>
            <w:tcW w:w="1051" w:type="dxa"/>
            <w:gridSpan w:val="2"/>
            <w:tcBorders>
              <w:top w:val="nil"/>
              <w:left w:val="nil"/>
              <w:bottom w:val="double" w:sz="6" w:space="0" w:color="1F497D"/>
              <w:right w:val="double" w:sz="6" w:space="0" w:color="1F497D"/>
            </w:tcBorders>
            <w:shd w:val="clear" w:color="auto" w:fill="auto"/>
            <w:vAlign w:val="center"/>
            <w:hideMark/>
          </w:tcPr>
          <w:p w14:paraId="3F2BACFB" w14:textId="77777777" w:rsidR="000F6C40" w:rsidRPr="00EB031E" w:rsidRDefault="000F6C40">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65%</w:t>
            </w:r>
          </w:p>
        </w:tc>
        <w:tc>
          <w:tcPr>
            <w:tcW w:w="987" w:type="dxa"/>
            <w:gridSpan w:val="2"/>
            <w:tcBorders>
              <w:top w:val="nil"/>
              <w:left w:val="nil"/>
              <w:bottom w:val="double" w:sz="6" w:space="0" w:color="1F497D"/>
              <w:right w:val="double" w:sz="6" w:space="0" w:color="1F497D"/>
            </w:tcBorders>
            <w:shd w:val="clear" w:color="auto" w:fill="auto"/>
            <w:vAlign w:val="center"/>
            <w:hideMark/>
          </w:tcPr>
          <w:p w14:paraId="0997F2E0" w14:textId="77777777" w:rsidR="000F6C40" w:rsidRPr="00EB031E" w:rsidRDefault="000F6C40">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94</w:t>
            </w:r>
          </w:p>
        </w:tc>
        <w:tc>
          <w:tcPr>
            <w:tcW w:w="1106" w:type="dxa"/>
            <w:gridSpan w:val="3"/>
            <w:tcBorders>
              <w:top w:val="nil"/>
              <w:left w:val="nil"/>
              <w:bottom w:val="double" w:sz="6" w:space="0" w:color="1F497D"/>
              <w:right w:val="double" w:sz="6" w:space="0" w:color="1F497D"/>
            </w:tcBorders>
            <w:shd w:val="clear" w:color="auto" w:fill="auto"/>
            <w:vAlign w:val="center"/>
            <w:hideMark/>
          </w:tcPr>
          <w:p w14:paraId="254D3F1D" w14:textId="77777777" w:rsidR="000F6C40" w:rsidRPr="00EB031E" w:rsidRDefault="000F6C40">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w:t>
            </w:r>
          </w:p>
        </w:tc>
        <w:tc>
          <w:tcPr>
            <w:tcW w:w="987" w:type="dxa"/>
            <w:tcBorders>
              <w:top w:val="nil"/>
              <w:left w:val="nil"/>
              <w:bottom w:val="double" w:sz="6" w:space="0" w:color="1F497D"/>
              <w:right w:val="double" w:sz="6" w:space="0" w:color="1F497D"/>
            </w:tcBorders>
            <w:shd w:val="clear" w:color="auto" w:fill="auto"/>
            <w:vAlign w:val="center"/>
            <w:hideMark/>
          </w:tcPr>
          <w:p w14:paraId="1F7AF6CE" w14:textId="77777777" w:rsidR="000F6C40" w:rsidRPr="00EB031E" w:rsidRDefault="000F6C40">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31</w:t>
            </w:r>
          </w:p>
        </w:tc>
      </w:tr>
      <w:tr w:rsidR="00EB031E" w:rsidRPr="000F6C40" w14:paraId="3AF9979D" w14:textId="77777777" w:rsidTr="00EB031E">
        <w:trPr>
          <w:trHeight w:val="186"/>
        </w:trPr>
        <w:tc>
          <w:tcPr>
            <w:tcW w:w="1603" w:type="dxa"/>
            <w:gridSpan w:val="3"/>
            <w:vMerge/>
            <w:tcBorders>
              <w:top w:val="nil"/>
              <w:left w:val="double" w:sz="6" w:space="0" w:color="1F497D"/>
              <w:bottom w:val="double" w:sz="6" w:space="0" w:color="1F497D"/>
              <w:right w:val="double" w:sz="6" w:space="0" w:color="1F497D"/>
            </w:tcBorders>
            <w:vAlign w:val="center"/>
            <w:hideMark/>
          </w:tcPr>
          <w:p w14:paraId="7EA771DB" w14:textId="77777777" w:rsidR="000F6C40" w:rsidRPr="00EB031E" w:rsidRDefault="000F6C40" w:rsidP="00EB031E">
            <w:pPr>
              <w:spacing w:after="0" w:line="240" w:lineRule="auto"/>
              <w:jc w:val="center"/>
              <w:rPr>
                <w:rFonts w:ascii="Book Antiqua" w:eastAsia="Times New Roman" w:hAnsi="Book Antiqua" w:cs="Calibri"/>
                <w:color w:val="000000"/>
                <w:sz w:val="18"/>
                <w:szCs w:val="18"/>
                <w:lang w:eastAsia="es-CR"/>
              </w:rPr>
            </w:pPr>
          </w:p>
        </w:tc>
        <w:tc>
          <w:tcPr>
            <w:tcW w:w="1451" w:type="dxa"/>
            <w:gridSpan w:val="2"/>
            <w:vMerge/>
            <w:tcBorders>
              <w:top w:val="nil"/>
              <w:left w:val="double" w:sz="6" w:space="0" w:color="1F497D"/>
              <w:bottom w:val="double" w:sz="6" w:space="0" w:color="1F497D"/>
              <w:right w:val="double" w:sz="6" w:space="0" w:color="1F497D"/>
            </w:tcBorders>
            <w:vAlign w:val="center"/>
            <w:hideMark/>
          </w:tcPr>
          <w:p w14:paraId="78C7D3BE" w14:textId="77777777" w:rsidR="000F6C40" w:rsidRPr="00EB031E" w:rsidRDefault="000F6C40" w:rsidP="00EB031E">
            <w:pPr>
              <w:spacing w:after="0" w:line="240" w:lineRule="auto"/>
              <w:jc w:val="center"/>
              <w:rPr>
                <w:rFonts w:ascii="Book Antiqua" w:eastAsia="Times New Roman" w:hAnsi="Book Antiqua" w:cs="Calibri"/>
                <w:color w:val="000000"/>
                <w:sz w:val="18"/>
                <w:szCs w:val="18"/>
                <w:lang w:eastAsia="es-CR"/>
              </w:rPr>
            </w:pPr>
          </w:p>
        </w:tc>
        <w:tc>
          <w:tcPr>
            <w:tcW w:w="814" w:type="dxa"/>
            <w:gridSpan w:val="2"/>
            <w:tcBorders>
              <w:top w:val="nil"/>
              <w:left w:val="nil"/>
              <w:bottom w:val="double" w:sz="6" w:space="0" w:color="1F497D"/>
              <w:right w:val="double" w:sz="6" w:space="0" w:color="1F497D"/>
            </w:tcBorders>
            <w:shd w:val="clear" w:color="auto" w:fill="auto"/>
            <w:vAlign w:val="center"/>
            <w:hideMark/>
          </w:tcPr>
          <w:p w14:paraId="25132386" w14:textId="77777777" w:rsidR="000F6C40" w:rsidRPr="00EB031E" w:rsidRDefault="000F6C40" w:rsidP="00D82DA9">
            <w:pPr>
              <w:spacing w:after="0" w:line="240" w:lineRule="auto"/>
              <w:jc w:val="center"/>
              <w:rPr>
                <w:rFonts w:ascii="Book Antiqua" w:eastAsia="Times New Roman" w:hAnsi="Book Antiqua" w:cs="Calibri"/>
                <w:b/>
                <w:bCs/>
                <w:i/>
                <w:iCs/>
                <w:color w:val="000000"/>
                <w:sz w:val="18"/>
                <w:szCs w:val="18"/>
                <w:lang w:eastAsia="es-CR"/>
              </w:rPr>
            </w:pPr>
            <w:r w:rsidRPr="00EB031E">
              <w:rPr>
                <w:rFonts w:ascii="Book Antiqua" w:eastAsia="Times New Roman" w:hAnsi="Book Antiqua" w:cs="Calibri"/>
                <w:b/>
                <w:bCs/>
                <w:i/>
                <w:iCs/>
                <w:color w:val="000000"/>
                <w:sz w:val="18"/>
                <w:szCs w:val="18"/>
                <w:lang w:eastAsia="es-CR"/>
              </w:rPr>
              <w:t>Trabajo</w:t>
            </w:r>
          </w:p>
        </w:tc>
        <w:tc>
          <w:tcPr>
            <w:tcW w:w="943" w:type="dxa"/>
            <w:gridSpan w:val="2"/>
            <w:tcBorders>
              <w:top w:val="nil"/>
              <w:left w:val="nil"/>
              <w:bottom w:val="double" w:sz="6" w:space="0" w:color="44546A"/>
              <w:right w:val="double" w:sz="6" w:space="0" w:color="44546A"/>
            </w:tcBorders>
            <w:shd w:val="clear" w:color="auto" w:fill="auto"/>
            <w:vAlign w:val="center"/>
            <w:hideMark/>
          </w:tcPr>
          <w:p w14:paraId="6A469D20" w14:textId="77777777" w:rsidR="000F6C40" w:rsidRPr="00EB031E" w:rsidRDefault="000F6C40" w:rsidP="00D82DA9">
            <w:pPr>
              <w:spacing w:after="0" w:line="240" w:lineRule="auto"/>
              <w:jc w:val="center"/>
              <w:rPr>
                <w:rFonts w:ascii="Book Antiqua" w:eastAsia="Times New Roman" w:hAnsi="Book Antiqua" w:cs="Calibri"/>
                <w:b/>
                <w:bCs/>
                <w:i/>
                <w:iCs/>
                <w:color w:val="000000"/>
                <w:sz w:val="18"/>
                <w:szCs w:val="18"/>
                <w:lang w:eastAsia="es-CR"/>
              </w:rPr>
            </w:pPr>
            <w:r w:rsidRPr="00EB031E">
              <w:rPr>
                <w:rFonts w:ascii="Book Antiqua" w:eastAsia="Times New Roman" w:hAnsi="Book Antiqua" w:cs="Calibri"/>
                <w:b/>
                <w:bCs/>
                <w:i/>
                <w:iCs/>
                <w:color w:val="000000"/>
                <w:sz w:val="18"/>
                <w:szCs w:val="18"/>
                <w:lang w:eastAsia="es-CR"/>
              </w:rPr>
              <w:t>1974</w:t>
            </w:r>
          </w:p>
        </w:tc>
        <w:tc>
          <w:tcPr>
            <w:tcW w:w="1051" w:type="dxa"/>
            <w:gridSpan w:val="2"/>
            <w:tcBorders>
              <w:top w:val="nil"/>
              <w:left w:val="nil"/>
              <w:bottom w:val="double" w:sz="6" w:space="0" w:color="1F497D"/>
              <w:right w:val="double" w:sz="6" w:space="0" w:color="1F497D"/>
            </w:tcBorders>
            <w:shd w:val="clear" w:color="auto" w:fill="auto"/>
            <w:vAlign w:val="center"/>
            <w:hideMark/>
          </w:tcPr>
          <w:p w14:paraId="3206BF79" w14:textId="77777777" w:rsidR="000F6C40" w:rsidRPr="00EB031E" w:rsidRDefault="000F6C40" w:rsidP="00EF1E24">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35%</w:t>
            </w:r>
          </w:p>
        </w:tc>
        <w:tc>
          <w:tcPr>
            <w:tcW w:w="987" w:type="dxa"/>
            <w:gridSpan w:val="2"/>
            <w:tcBorders>
              <w:top w:val="nil"/>
              <w:left w:val="nil"/>
              <w:bottom w:val="double" w:sz="6" w:space="0" w:color="1F497D"/>
              <w:right w:val="double" w:sz="6" w:space="0" w:color="1F497D"/>
            </w:tcBorders>
            <w:shd w:val="clear" w:color="auto" w:fill="auto"/>
            <w:vAlign w:val="center"/>
            <w:hideMark/>
          </w:tcPr>
          <w:p w14:paraId="47EC5F8C" w14:textId="77777777" w:rsidR="000F6C40" w:rsidRPr="00EB031E" w:rsidRDefault="000F6C40">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50</w:t>
            </w:r>
          </w:p>
        </w:tc>
        <w:tc>
          <w:tcPr>
            <w:tcW w:w="1106" w:type="dxa"/>
            <w:gridSpan w:val="3"/>
            <w:tcBorders>
              <w:top w:val="nil"/>
              <w:left w:val="nil"/>
              <w:bottom w:val="double" w:sz="6" w:space="0" w:color="1F497D"/>
              <w:right w:val="double" w:sz="6" w:space="0" w:color="1F497D"/>
            </w:tcBorders>
            <w:shd w:val="clear" w:color="auto" w:fill="auto"/>
            <w:vAlign w:val="center"/>
            <w:hideMark/>
          </w:tcPr>
          <w:p w14:paraId="521A487D" w14:textId="77777777" w:rsidR="000F6C40" w:rsidRPr="00EB031E" w:rsidRDefault="000F6C40">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3</w:t>
            </w:r>
          </w:p>
        </w:tc>
        <w:tc>
          <w:tcPr>
            <w:tcW w:w="987" w:type="dxa"/>
            <w:tcBorders>
              <w:top w:val="nil"/>
              <w:left w:val="nil"/>
              <w:bottom w:val="double" w:sz="6" w:space="0" w:color="1F497D"/>
              <w:right w:val="double" w:sz="6" w:space="0" w:color="1F497D"/>
            </w:tcBorders>
            <w:shd w:val="clear" w:color="auto" w:fill="auto"/>
            <w:vAlign w:val="center"/>
            <w:hideMark/>
          </w:tcPr>
          <w:p w14:paraId="555BB9F4" w14:textId="77777777" w:rsidR="000F6C40" w:rsidRPr="00EB031E" w:rsidRDefault="000F6C40">
            <w:pPr>
              <w:spacing w:after="0" w:line="240" w:lineRule="auto"/>
              <w:jc w:val="center"/>
              <w:rPr>
                <w:rFonts w:ascii="Book Antiqua" w:eastAsia="Times New Roman" w:hAnsi="Book Antiqua" w:cs="Calibri"/>
                <w:color w:val="000000"/>
                <w:sz w:val="18"/>
                <w:szCs w:val="18"/>
                <w:lang w:eastAsia="es-CR"/>
              </w:rPr>
            </w:pPr>
            <w:r w:rsidRPr="00EB031E">
              <w:rPr>
                <w:rFonts w:ascii="Book Antiqua" w:eastAsia="Times New Roman" w:hAnsi="Book Antiqua" w:cs="Calibri"/>
                <w:color w:val="000000"/>
                <w:sz w:val="18"/>
                <w:szCs w:val="18"/>
                <w:lang w:eastAsia="es-CR"/>
              </w:rPr>
              <w:t>17</w:t>
            </w:r>
          </w:p>
        </w:tc>
      </w:tr>
    </w:tbl>
    <w:p w14:paraId="0318A1E0" w14:textId="5EDEB631" w:rsidR="00E260EA" w:rsidRDefault="00E260EA" w:rsidP="00E260EA">
      <w:pPr>
        <w:jc w:val="both"/>
        <w:rPr>
          <w:rFonts w:ascii="Book Antiqua" w:hAnsi="Book Antiqua"/>
          <w:b/>
          <w:i/>
          <w:sz w:val="20"/>
        </w:rPr>
      </w:pPr>
      <w:r w:rsidRPr="00410ED4">
        <w:rPr>
          <w:rFonts w:ascii="Book Antiqua" w:hAnsi="Book Antiqua"/>
          <w:b/>
          <w:i/>
          <w:sz w:val="20"/>
        </w:rPr>
        <w:t xml:space="preserve">Fuente: </w:t>
      </w:r>
      <w:r w:rsidR="000C6192" w:rsidRPr="003A6481">
        <w:rPr>
          <w:rFonts w:ascii="Book Antiqua" w:hAnsi="Book Antiqua"/>
          <w:bCs/>
          <w:i/>
          <w:sz w:val="20"/>
        </w:rPr>
        <w:t>Elaboración propia con base en datos del sistema SIGMA y Anuarios Judiciales, Subproceso de Modernización</w:t>
      </w:r>
      <w:r w:rsidR="00041107">
        <w:rPr>
          <w:rFonts w:ascii="Book Antiqua" w:hAnsi="Book Antiqua"/>
          <w:b/>
          <w:i/>
          <w:sz w:val="20"/>
        </w:rPr>
        <w:t>.</w:t>
      </w:r>
      <w:r>
        <w:rPr>
          <w:rFonts w:ascii="Book Antiqua" w:hAnsi="Book Antiqua"/>
          <w:b/>
          <w:i/>
          <w:sz w:val="20"/>
        </w:rPr>
        <w:t xml:space="preserve"> </w:t>
      </w:r>
    </w:p>
    <w:p w14:paraId="6306B795" w14:textId="5F0256E1" w:rsidR="00E260EA" w:rsidRDefault="00E260EA" w:rsidP="00E260EA">
      <w:pPr>
        <w:jc w:val="both"/>
        <w:rPr>
          <w:rFonts w:ascii="Book Antiqua" w:hAnsi="Book Antiqua"/>
        </w:rPr>
      </w:pPr>
      <w:r w:rsidRPr="006A07A0">
        <w:rPr>
          <w:rFonts w:ascii="Book Antiqua" w:hAnsi="Book Antiqua"/>
        </w:rPr>
        <w:t xml:space="preserve">De acuerdo con los datos mostrados en el cuadro anterior, la carga de trabajo de las personas juzgadoras que atenderían de forma especializada la materia Civil sería de </w:t>
      </w:r>
      <w:r w:rsidR="007D2FBE" w:rsidRPr="006A07A0">
        <w:rPr>
          <w:rFonts w:ascii="Book Antiqua" w:hAnsi="Book Antiqua"/>
        </w:rPr>
        <w:t>3</w:t>
      </w:r>
      <w:r w:rsidR="00041107">
        <w:rPr>
          <w:rFonts w:ascii="Book Antiqua" w:hAnsi="Book Antiqua"/>
        </w:rPr>
        <w:t>1</w:t>
      </w:r>
      <w:r w:rsidR="006C3B70" w:rsidRPr="006A07A0">
        <w:rPr>
          <w:rFonts w:ascii="Book Antiqua" w:hAnsi="Book Antiqua"/>
        </w:rPr>
        <w:t xml:space="preserve"> </w:t>
      </w:r>
      <w:r w:rsidRPr="006A07A0">
        <w:rPr>
          <w:rFonts w:ascii="Book Antiqua" w:hAnsi="Book Antiqua"/>
        </w:rPr>
        <w:t xml:space="preserve">casos al mes promedio, mientras que las personas juzgadoras que entenderían de forma especializada la materia de </w:t>
      </w:r>
      <w:r w:rsidR="006C3B70" w:rsidRPr="006A07A0">
        <w:rPr>
          <w:rFonts w:ascii="Book Antiqua" w:hAnsi="Book Antiqua"/>
        </w:rPr>
        <w:t>Trabajo</w:t>
      </w:r>
      <w:r>
        <w:rPr>
          <w:rFonts w:ascii="Book Antiqua" w:hAnsi="Book Antiqua"/>
        </w:rPr>
        <w:t xml:space="preserve"> le ingresarían una carga de trabajo promedio de </w:t>
      </w:r>
      <w:r w:rsidR="00041107">
        <w:rPr>
          <w:rFonts w:ascii="Book Antiqua" w:hAnsi="Book Antiqua"/>
        </w:rPr>
        <w:t>17</w:t>
      </w:r>
      <w:r>
        <w:rPr>
          <w:rFonts w:ascii="Book Antiqua" w:hAnsi="Book Antiqua"/>
        </w:rPr>
        <w:t xml:space="preserve"> casos.  Lo anterior demuestra inequidad en la carga de trabajo entre materias en cuanto a cantidad de casos ingresados, sin contemplar el criterio de dificultad de los casos, por lo cual se verá beneficiados una porción de las Juezas y Jueces, lo cual </w:t>
      </w:r>
      <w:r w:rsidR="006839DC">
        <w:rPr>
          <w:rFonts w:ascii="Book Antiqua" w:hAnsi="Book Antiqua"/>
        </w:rPr>
        <w:t xml:space="preserve">no implicaría </w:t>
      </w:r>
      <w:r>
        <w:rPr>
          <w:rFonts w:ascii="Book Antiqua" w:hAnsi="Book Antiqua"/>
        </w:rPr>
        <w:t xml:space="preserve">igualdad de cargas de trabajo. </w:t>
      </w:r>
      <w:r w:rsidR="00B1676D">
        <w:rPr>
          <w:rFonts w:ascii="Book Antiqua" w:hAnsi="Book Antiqua"/>
        </w:rPr>
        <w:t xml:space="preserve"> En caso de generar una división a lo interno, una sección sería responsable del 6</w:t>
      </w:r>
      <w:r w:rsidR="0096404B">
        <w:rPr>
          <w:rFonts w:ascii="Book Antiqua" w:hAnsi="Book Antiqua"/>
        </w:rPr>
        <w:t>5</w:t>
      </w:r>
      <w:r w:rsidR="00B1676D">
        <w:rPr>
          <w:rFonts w:ascii="Book Antiqua" w:hAnsi="Book Antiqua"/>
        </w:rPr>
        <w:t>% y la otra sección responsable del 3</w:t>
      </w:r>
      <w:r w:rsidR="0096404B">
        <w:rPr>
          <w:rFonts w:ascii="Book Antiqua" w:hAnsi="Book Antiqua"/>
        </w:rPr>
        <w:t>5</w:t>
      </w:r>
      <w:r w:rsidR="00B1676D">
        <w:rPr>
          <w:rFonts w:ascii="Book Antiqua" w:hAnsi="Book Antiqua"/>
        </w:rPr>
        <w:t>% de los casos entrado.</w:t>
      </w:r>
    </w:p>
    <w:p w14:paraId="13BDCB97" w14:textId="77777777" w:rsidR="00E260EA" w:rsidRDefault="00E260EA" w:rsidP="00E260EA">
      <w:pPr>
        <w:spacing w:line="276" w:lineRule="auto"/>
        <w:jc w:val="both"/>
        <w:rPr>
          <w:rFonts w:ascii="Book Antiqua" w:hAnsi="Book Antiqua"/>
        </w:rPr>
      </w:pPr>
      <w:r>
        <w:rPr>
          <w:rFonts w:ascii="Book Antiqua" w:hAnsi="Book Antiqua"/>
        </w:rPr>
        <w:t xml:space="preserve">Por otro lado, se realiza un análisis de la atención de la carga de trabajo del Tribunal de Apelaciones Civil y Trabajo de Alajuela, de forma que las seis personas juzgadoras sean responsables de ambas materias por igual. </w:t>
      </w:r>
    </w:p>
    <w:p w14:paraId="73381F04" w14:textId="5F8F0675" w:rsidR="00E260EA" w:rsidRPr="003D23E3" w:rsidRDefault="00E260EA" w:rsidP="003D23E3">
      <w:pPr>
        <w:keepNext/>
        <w:spacing w:after="0"/>
        <w:jc w:val="center"/>
        <w:rPr>
          <w:rFonts w:ascii="Book Antiqua" w:hAnsi="Book Antiqua"/>
          <w:b/>
          <w:bCs/>
          <w:color w:val="1F497D" w:themeColor="text2"/>
        </w:rPr>
      </w:pPr>
      <w:r w:rsidRPr="003D23E3">
        <w:rPr>
          <w:rFonts w:ascii="Book Antiqua" w:hAnsi="Book Antiqua"/>
          <w:b/>
          <w:bCs/>
          <w:color w:val="1F497D" w:themeColor="text2"/>
        </w:rPr>
        <w:t xml:space="preserve">Cuadro </w:t>
      </w:r>
      <w:r w:rsidRPr="003D23E3">
        <w:rPr>
          <w:rFonts w:ascii="Book Antiqua" w:hAnsi="Book Antiqua"/>
          <w:b/>
          <w:bCs/>
          <w:color w:val="1F497D" w:themeColor="text2"/>
        </w:rPr>
        <w:fldChar w:fldCharType="begin"/>
      </w:r>
      <w:r w:rsidRPr="003D23E3">
        <w:rPr>
          <w:rFonts w:ascii="Book Antiqua" w:hAnsi="Book Antiqua"/>
          <w:b/>
          <w:bCs/>
          <w:color w:val="1F497D" w:themeColor="text2"/>
        </w:rPr>
        <w:instrText xml:space="preserve"> SEQ Cuadro \* ARABIC </w:instrText>
      </w:r>
      <w:r w:rsidRPr="003D23E3">
        <w:rPr>
          <w:rFonts w:ascii="Book Antiqua" w:hAnsi="Book Antiqua"/>
          <w:b/>
          <w:bCs/>
          <w:color w:val="1F497D" w:themeColor="text2"/>
        </w:rPr>
        <w:fldChar w:fldCharType="separate"/>
      </w:r>
      <w:r w:rsidR="00DB3347" w:rsidRPr="003D23E3">
        <w:rPr>
          <w:rFonts w:ascii="Book Antiqua" w:hAnsi="Book Antiqua"/>
          <w:b/>
          <w:bCs/>
          <w:noProof/>
          <w:color w:val="1F497D" w:themeColor="text2"/>
        </w:rPr>
        <w:t>13</w:t>
      </w:r>
      <w:r w:rsidRPr="003D23E3">
        <w:rPr>
          <w:rFonts w:ascii="Book Antiqua" w:hAnsi="Book Antiqua"/>
          <w:b/>
          <w:bCs/>
          <w:color w:val="1F497D" w:themeColor="text2"/>
        </w:rPr>
        <w:fldChar w:fldCharType="end"/>
      </w:r>
    </w:p>
    <w:p w14:paraId="4B0AE160" w14:textId="7A548D0F" w:rsidR="00E260EA" w:rsidRPr="0019160A" w:rsidRDefault="006A07A0" w:rsidP="003D23E3">
      <w:pPr>
        <w:spacing w:after="0" w:line="276" w:lineRule="auto"/>
        <w:jc w:val="center"/>
        <w:rPr>
          <w:rFonts w:ascii="Book Antiqua" w:eastAsia="Times New Roman" w:hAnsi="Book Antiqua" w:cs="Arial"/>
          <w:b/>
          <w:bCs/>
          <w:color w:val="1F497D" w:themeColor="text2"/>
          <w:lang w:eastAsia="es-ES"/>
        </w:rPr>
      </w:pPr>
      <w:r w:rsidRPr="004C662D">
        <w:rPr>
          <w:rFonts w:ascii="Book Antiqua" w:eastAsia="Times New Roman" w:hAnsi="Book Antiqua" w:cs="Arial"/>
          <w:b/>
          <w:bCs/>
          <w:color w:val="1F497D" w:themeColor="text2"/>
          <w:lang w:eastAsia="es-ES"/>
        </w:rPr>
        <w:t xml:space="preserve">Organización actual </w:t>
      </w:r>
      <w:r w:rsidR="00E260EA" w:rsidRPr="004C662D">
        <w:rPr>
          <w:rFonts w:ascii="Book Antiqua" w:eastAsia="Times New Roman" w:hAnsi="Book Antiqua" w:cs="Arial"/>
          <w:b/>
          <w:bCs/>
          <w:color w:val="1F497D" w:themeColor="text2"/>
          <w:lang w:eastAsia="es-ES"/>
        </w:rPr>
        <w:t>de las personas juzgadoras por materia en el Tribunal de Apelación Civil y Trabajo de Alajuela</w:t>
      </w:r>
    </w:p>
    <w:tbl>
      <w:tblPr>
        <w:tblW w:w="8782" w:type="dxa"/>
        <w:tblLayout w:type="fixed"/>
        <w:tblCellMar>
          <w:left w:w="70" w:type="dxa"/>
          <w:right w:w="70" w:type="dxa"/>
        </w:tblCellMar>
        <w:tblLook w:val="04A0" w:firstRow="1" w:lastRow="0" w:firstColumn="1" w:lastColumn="0" w:noHBand="0" w:noVBand="1"/>
      </w:tblPr>
      <w:tblGrid>
        <w:gridCol w:w="2387"/>
        <w:gridCol w:w="1038"/>
        <w:gridCol w:w="771"/>
        <w:gridCol w:w="780"/>
        <w:gridCol w:w="871"/>
        <w:gridCol w:w="889"/>
        <w:gridCol w:w="834"/>
        <w:gridCol w:w="1212"/>
      </w:tblGrid>
      <w:tr w:rsidR="00EB031E" w:rsidRPr="003A6481" w14:paraId="0A1EAB2B" w14:textId="77777777" w:rsidTr="00EB031E">
        <w:trPr>
          <w:trHeight w:val="1700"/>
        </w:trPr>
        <w:tc>
          <w:tcPr>
            <w:tcW w:w="1359" w:type="pct"/>
            <w:tcBorders>
              <w:top w:val="double" w:sz="6" w:space="0" w:color="44546A"/>
              <w:left w:val="double" w:sz="6" w:space="0" w:color="44546A"/>
              <w:bottom w:val="double" w:sz="6" w:space="0" w:color="44546A"/>
              <w:right w:val="double" w:sz="6" w:space="0" w:color="44546A"/>
            </w:tcBorders>
            <w:shd w:val="clear" w:color="000000" w:fill="1F4E78"/>
            <w:vAlign w:val="center"/>
            <w:hideMark/>
          </w:tcPr>
          <w:p w14:paraId="4D0F0664" w14:textId="77777777" w:rsidR="009C0BEB" w:rsidRPr="003A6481" w:rsidRDefault="009C0BEB" w:rsidP="00EB031E">
            <w:pPr>
              <w:spacing w:after="0" w:line="240" w:lineRule="auto"/>
              <w:jc w:val="center"/>
              <w:rPr>
                <w:rFonts w:ascii="Book Antiqua" w:eastAsia="Times New Roman" w:hAnsi="Book Antiqua" w:cs="Calibri"/>
                <w:b/>
                <w:bCs/>
                <w:color w:val="FFFFFF"/>
                <w:sz w:val="18"/>
                <w:szCs w:val="18"/>
                <w:lang w:eastAsia="es-CR"/>
              </w:rPr>
            </w:pPr>
            <w:r w:rsidRPr="003A6481">
              <w:rPr>
                <w:rFonts w:ascii="Book Antiqua" w:eastAsia="Times New Roman" w:hAnsi="Book Antiqua" w:cs="Calibri"/>
                <w:b/>
                <w:bCs/>
                <w:color w:val="FFFFFF"/>
                <w:sz w:val="18"/>
                <w:szCs w:val="18"/>
                <w:lang w:eastAsia="es-CR"/>
              </w:rPr>
              <w:t>Despacho</w:t>
            </w:r>
          </w:p>
        </w:tc>
        <w:tc>
          <w:tcPr>
            <w:tcW w:w="591" w:type="pct"/>
            <w:tcBorders>
              <w:top w:val="double" w:sz="6" w:space="0" w:color="44546A"/>
              <w:left w:val="nil"/>
              <w:bottom w:val="double" w:sz="6" w:space="0" w:color="44546A"/>
              <w:right w:val="double" w:sz="6" w:space="0" w:color="44546A"/>
            </w:tcBorders>
            <w:shd w:val="clear" w:color="000000" w:fill="1F4E78"/>
            <w:vAlign w:val="center"/>
            <w:hideMark/>
          </w:tcPr>
          <w:p w14:paraId="547508D0" w14:textId="77777777" w:rsidR="009C0BEB" w:rsidRPr="003A6481" w:rsidRDefault="009C0BEB" w:rsidP="00EB031E">
            <w:pPr>
              <w:spacing w:after="0" w:line="240" w:lineRule="auto"/>
              <w:jc w:val="center"/>
              <w:rPr>
                <w:rFonts w:ascii="Book Antiqua" w:eastAsia="Times New Roman" w:hAnsi="Book Antiqua" w:cs="Calibri"/>
                <w:b/>
                <w:bCs/>
                <w:color w:val="FFFFFF"/>
                <w:sz w:val="18"/>
                <w:szCs w:val="18"/>
                <w:lang w:eastAsia="es-CR"/>
              </w:rPr>
            </w:pPr>
            <w:r w:rsidRPr="003A6481">
              <w:rPr>
                <w:rFonts w:ascii="Book Antiqua" w:eastAsia="Times New Roman" w:hAnsi="Book Antiqua" w:cs="Calibri"/>
                <w:b/>
                <w:bCs/>
                <w:color w:val="FFFFFF"/>
                <w:sz w:val="18"/>
                <w:szCs w:val="18"/>
                <w:lang w:eastAsia="es-CR"/>
              </w:rPr>
              <w:t>Materia</w:t>
            </w:r>
          </w:p>
        </w:tc>
        <w:tc>
          <w:tcPr>
            <w:tcW w:w="439" w:type="pct"/>
            <w:tcBorders>
              <w:top w:val="double" w:sz="6" w:space="0" w:color="44546A"/>
              <w:left w:val="nil"/>
              <w:bottom w:val="double" w:sz="6" w:space="0" w:color="44546A"/>
              <w:right w:val="double" w:sz="6" w:space="0" w:color="44546A"/>
            </w:tcBorders>
            <w:shd w:val="clear" w:color="000000" w:fill="1F4E78"/>
            <w:vAlign w:val="center"/>
            <w:hideMark/>
          </w:tcPr>
          <w:p w14:paraId="28DFEF47" w14:textId="77777777" w:rsidR="009C0BEB" w:rsidRPr="003A6481" w:rsidRDefault="009C0BEB" w:rsidP="00EB031E">
            <w:pPr>
              <w:spacing w:after="0" w:line="240" w:lineRule="auto"/>
              <w:jc w:val="center"/>
              <w:rPr>
                <w:rFonts w:ascii="Book Antiqua" w:eastAsia="Times New Roman" w:hAnsi="Book Antiqua" w:cs="Calibri"/>
                <w:b/>
                <w:bCs/>
                <w:color w:val="FFFFFF"/>
                <w:sz w:val="18"/>
                <w:szCs w:val="18"/>
                <w:lang w:eastAsia="es-CR"/>
              </w:rPr>
            </w:pPr>
            <w:r w:rsidRPr="003A6481">
              <w:rPr>
                <w:rFonts w:ascii="Book Antiqua" w:eastAsia="Times New Roman" w:hAnsi="Book Antiqua" w:cs="Calibri"/>
                <w:b/>
                <w:bCs/>
                <w:color w:val="FFFFFF"/>
                <w:sz w:val="18"/>
                <w:szCs w:val="18"/>
                <w:lang w:eastAsia="es-CR"/>
              </w:rPr>
              <w:t>Total</w:t>
            </w:r>
          </w:p>
        </w:tc>
        <w:tc>
          <w:tcPr>
            <w:tcW w:w="444" w:type="pct"/>
            <w:tcBorders>
              <w:top w:val="double" w:sz="6" w:space="0" w:color="44546A"/>
              <w:left w:val="nil"/>
              <w:bottom w:val="double" w:sz="6" w:space="0" w:color="44546A"/>
              <w:right w:val="double" w:sz="6" w:space="0" w:color="44546A"/>
            </w:tcBorders>
            <w:shd w:val="clear" w:color="000000" w:fill="1F4E78"/>
            <w:vAlign w:val="center"/>
            <w:hideMark/>
          </w:tcPr>
          <w:p w14:paraId="31EB36DC" w14:textId="77777777" w:rsidR="009C0BEB" w:rsidRPr="003A6481" w:rsidRDefault="009C0BEB" w:rsidP="00EB031E">
            <w:pPr>
              <w:spacing w:after="0" w:line="240" w:lineRule="auto"/>
              <w:jc w:val="center"/>
              <w:rPr>
                <w:rFonts w:ascii="Book Antiqua" w:eastAsia="Times New Roman" w:hAnsi="Book Antiqua" w:cs="Calibri"/>
                <w:b/>
                <w:bCs/>
                <w:color w:val="FFFFFF"/>
                <w:sz w:val="18"/>
                <w:szCs w:val="18"/>
                <w:lang w:eastAsia="es-CR"/>
              </w:rPr>
            </w:pPr>
            <w:r w:rsidRPr="003A6481">
              <w:rPr>
                <w:rFonts w:ascii="Book Antiqua" w:eastAsia="Times New Roman" w:hAnsi="Book Antiqua" w:cs="Calibri"/>
                <w:b/>
                <w:bCs/>
                <w:color w:val="FFFFFF"/>
                <w:sz w:val="18"/>
                <w:szCs w:val="18"/>
                <w:lang w:eastAsia="es-CR"/>
              </w:rPr>
              <w:t>Cantidad mensual por materia</w:t>
            </w:r>
          </w:p>
        </w:tc>
        <w:tc>
          <w:tcPr>
            <w:tcW w:w="496" w:type="pct"/>
            <w:tcBorders>
              <w:top w:val="double" w:sz="6" w:space="0" w:color="44546A"/>
              <w:left w:val="nil"/>
              <w:bottom w:val="double" w:sz="6" w:space="0" w:color="44546A"/>
              <w:right w:val="double" w:sz="6" w:space="0" w:color="44546A"/>
            </w:tcBorders>
            <w:shd w:val="clear" w:color="000000" w:fill="1F4E78"/>
            <w:vAlign w:val="center"/>
            <w:hideMark/>
          </w:tcPr>
          <w:p w14:paraId="27A45503" w14:textId="77777777" w:rsidR="009C0BEB" w:rsidRPr="003A6481" w:rsidRDefault="009C0BEB" w:rsidP="00EB031E">
            <w:pPr>
              <w:spacing w:after="0" w:line="240" w:lineRule="auto"/>
              <w:jc w:val="center"/>
              <w:rPr>
                <w:rFonts w:ascii="Book Antiqua" w:eastAsia="Times New Roman" w:hAnsi="Book Antiqua" w:cs="Calibri"/>
                <w:b/>
                <w:bCs/>
                <w:color w:val="FFFFFF"/>
                <w:sz w:val="18"/>
                <w:szCs w:val="18"/>
                <w:lang w:eastAsia="es-CR"/>
              </w:rPr>
            </w:pPr>
            <w:r w:rsidRPr="003A6481">
              <w:rPr>
                <w:rFonts w:ascii="Book Antiqua" w:eastAsia="Times New Roman" w:hAnsi="Book Antiqua" w:cs="Calibri"/>
                <w:b/>
                <w:bCs/>
                <w:color w:val="FFFFFF"/>
                <w:sz w:val="18"/>
                <w:szCs w:val="18"/>
                <w:lang w:eastAsia="es-CR"/>
              </w:rPr>
              <w:t xml:space="preserve">Porcentaje por materia </w:t>
            </w:r>
          </w:p>
        </w:tc>
        <w:tc>
          <w:tcPr>
            <w:tcW w:w="506" w:type="pct"/>
            <w:tcBorders>
              <w:top w:val="double" w:sz="6" w:space="0" w:color="44546A"/>
              <w:left w:val="nil"/>
              <w:bottom w:val="double" w:sz="6" w:space="0" w:color="44546A"/>
              <w:right w:val="double" w:sz="6" w:space="0" w:color="44546A"/>
            </w:tcBorders>
            <w:shd w:val="clear" w:color="000000" w:fill="1F4E78"/>
            <w:vAlign w:val="center"/>
            <w:hideMark/>
          </w:tcPr>
          <w:p w14:paraId="665E2BAE" w14:textId="77777777" w:rsidR="009C0BEB" w:rsidRPr="003A6481" w:rsidRDefault="009C0BEB" w:rsidP="00EB031E">
            <w:pPr>
              <w:spacing w:after="0" w:line="240" w:lineRule="auto"/>
              <w:jc w:val="center"/>
              <w:rPr>
                <w:rFonts w:ascii="Book Antiqua" w:eastAsia="Times New Roman" w:hAnsi="Book Antiqua" w:cs="Calibri"/>
                <w:b/>
                <w:bCs/>
                <w:color w:val="FFFFFF"/>
                <w:sz w:val="18"/>
                <w:szCs w:val="18"/>
                <w:lang w:eastAsia="es-CR"/>
              </w:rPr>
            </w:pPr>
            <w:r w:rsidRPr="003A6481">
              <w:rPr>
                <w:rFonts w:ascii="Book Antiqua" w:eastAsia="Times New Roman" w:hAnsi="Book Antiqua" w:cs="Calibri"/>
                <w:b/>
                <w:bCs/>
                <w:color w:val="FFFFFF"/>
                <w:sz w:val="18"/>
                <w:szCs w:val="18"/>
                <w:lang w:eastAsia="es-CR"/>
              </w:rPr>
              <w:t xml:space="preserve">Cantidad de jueces </w:t>
            </w:r>
          </w:p>
        </w:tc>
        <w:tc>
          <w:tcPr>
            <w:tcW w:w="475" w:type="pct"/>
            <w:tcBorders>
              <w:top w:val="double" w:sz="6" w:space="0" w:color="44546A"/>
              <w:left w:val="nil"/>
              <w:bottom w:val="double" w:sz="6" w:space="0" w:color="44546A"/>
              <w:right w:val="double" w:sz="6" w:space="0" w:color="44546A"/>
            </w:tcBorders>
            <w:shd w:val="clear" w:color="000000" w:fill="1F4E78"/>
            <w:vAlign w:val="center"/>
            <w:hideMark/>
          </w:tcPr>
          <w:p w14:paraId="45BE9903" w14:textId="77777777" w:rsidR="009C0BEB" w:rsidRPr="003A6481" w:rsidRDefault="009C0BEB" w:rsidP="00EB031E">
            <w:pPr>
              <w:spacing w:after="0" w:line="240" w:lineRule="auto"/>
              <w:jc w:val="center"/>
              <w:rPr>
                <w:rFonts w:ascii="Book Antiqua" w:eastAsia="Times New Roman" w:hAnsi="Book Antiqua" w:cs="Calibri"/>
                <w:b/>
                <w:bCs/>
                <w:color w:val="FFFFFF"/>
                <w:sz w:val="18"/>
                <w:szCs w:val="18"/>
                <w:lang w:eastAsia="es-CR"/>
              </w:rPr>
            </w:pPr>
            <w:r w:rsidRPr="003A6481">
              <w:rPr>
                <w:rFonts w:ascii="Book Antiqua" w:eastAsia="Times New Roman" w:hAnsi="Book Antiqua" w:cs="Calibri"/>
                <w:b/>
                <w:bCs/>
                <w:color w:val="FFFFFF"/>
                <w:sz w:val="18"/>
                <w:szCs w:val="18"/>
                <w:lang w:eastAsia="es-CR"/>
              </w:rPr>
              <w:t xml:space="preserve">Carga de trabajo </w:t>
            </w:r>
            <w:r w:rsidRPr="00463182">
              <w:rPr>
                <w:rFonts w:ascii="Book Antiqua" w:eastAsia="Times New Roman" w:hAnsi="Book Antiqua" w:cs="Calibri"/>
                <w:b/>
                <w:bCs/>
                <w:color w:val="FFFFFF"/>
                <w:sz w:val="18"/>
                <w:szCs w:val="18"/>
                <w:lang w:eastAsia="es-CR"/>
              </w:rPr>
              <w:t>promedio mensual</w:t>
            </w:r>
            <w:r w:rsidRPr="003A6481">
              <w:rPr>
                <w:rFonts w:ascii="Book Antiqua" w:eastAsia="Times New Roman" w:hAnsi="Book Antiqua" w:cs="Calibri"/>
                <w:b/>
                <w:bCs/>
                <w:color w:val="FFFFFF"/>
                <w:sz w:val="18"/>
                <w:szCs w:val="18"/>
                <w:lang w:eastAsia="es-CR"/>
              </w:rPr>
              <w:t xml:space="preserve"> por materia por Juez </w:t>
            </w:r>
          </w:p>
        </w:tc>
        <w:tc>
          <w:tcPr>
            <w:tcW w:w="690" w:type="pct"/>
            <w:tcBorders>
              <w:top w:val="double" w:sz="6" w:space="0" w:color="44546A"/>
              <w:left w:val="nil"/>
              <w:bottom w:val="double" w:sz="6" w:space="0" w:color="44546A"/>
              <w:right w:val="double" w:sz="6" w:space="0" w:color="44546A"/>
            </w:tcBorders>
            <w:shd w:val="clear" w:color="000000" w:fill="1F4E78"/>
            <w:vAlign w:val="center"/>
            <w:hideMark/>
          </w:tcPr>
          <w:p w14:paraId="3C00EA06" w14:textId="77777777" w:rsidR="009C0BEB" w:rsidRPr="003A6481" w:rsidRDefault="009C0BEB" w:rsidP="00EB031E">
            <w:pPr>
              <w:spacing w:after="0" w:line="240" w:lineRule="auto"/>
              <w:jc w:val="center"/>
              <w:rPr>
                <w:rFonts w:ascii="Book Antiqua" w:eastAsia="Times New Roman" w:hAnsi="Book Antiqua" w:cs="Calibri"/>
                <w:b/>
                <w:bCs/>
                <w:color w:val="FFFFFF"/>
                <w:sz w:val="18"/>
                <w:szCs w:val="18"/>
                <w:lang w:eastAsia="es-CR"/>
              </w:rPr>
            </w:pPr>
            <w:r w:rsidRPr="003A6481">
              <w:rPr>
                <w:rFonts w:ascii="Book Antiqua" w:eastAsia="Times New Roman" w:hAnsi="Book Antiqua" w:cs="Calibri"/>
                <w:b/>
                <w:bCs/>
                <w:color w:val="FFFFFF"/>
                <w:sz w:val="18"/>
                <w:szCs w:val="18"/>
                <w:lang w:eastAsia="es-CR"/>
              </w:rPr>
              <w:t xml:space="preserve">Propuesta Cuota de trabajo por materia  </w:t>
            </w:r>
          </w:p>
        </w:tc>
      </w:tr>
      <w:tr w:rsidR="00EB031E" w:rsidRPr="003A6481" w14:paraId="0014C97E" w14:textId="77777777" w:rsidTr="00EB031E">
        <w:trPr>
          <w:trHeight w:val="318"/>
        </w:trPr>
        <w:tc>
          <w:tcPr>
            <w:tcW w:w="1359" w:type="pct"/>
            <w:vMerge w:val="restart"/>
            <w:tcBorders>
              <w:top w:val="nil"/>
              <w:left w:val="double" w:sz="6" w:space="0" w:color="44546A"/>
              <w:bottom w:val="double" w:sz="6" w:space="0" w:color="44546A"/>
              <w:right w:val="double" w:sz="6" w:space="0" w:color="44546A"/>
            </w:tcBorders>
            <w:shd w:val="clear" w:color="auto" w:fill="auto"/>
            <w:noWrap/>
            <w:vAlign w:val="center"/>
            <w:hideMark/>
          </w:tcPr>
          <w:p w14:paraId="7FE52EE1" w14:textId="77777777" w:rsidR="009C0BEB" w:rsidRPr="003A6481" w:rsidRDefault="009C0BEB" w:rsidP="00EB031E">
            <w:pPr>
              <w:spacing w:after="0" w:line="240" w:lineRule="auto"/>
              <w:rPr>
                <w:rFonts w:ascii="Book Antiqua" w:eastAsia="Times New Roman" w:hAnsi="Book Antiqua" w:cs="Calibri"/>
                <w:sz w:val="18"/>
                <w:szCs w:val="18"/>
                <w:lang w:eastAsia="es-CR"/>
              </w:rPr>
            </w:pPr>
            <w:r w:rsidRPr="003A6481">
              <w:rPr>
                <w:rFonts w:ascii="Book Antiqua" w:eastAsia="Times New Roman" w:hAnsi="Book Antiqua" w:cs="Calibri"/>
                <w:sz w:val="18"/>
                <w:szCs w:val="18"/>
                <w:lang w:eastAsia="es-CR"/>
              </w:rPr>
              <w:t xml:space="preserve">Tribunal de Primer Circuito Judicial de Alajuela </w:t>
            </w:r>
          </w:p>
        </w:tc>
        <w:tc>
          <w:tcPr>
            <w:tcW w:w="591" w:type="pct"/>
            <w:tcBorders>
              <w:top w:val="nil"/>
              <w:left w:val="nil"/>
              <w:bottom w:val="double" w:sz="6" w:space="0" w:color="44546A"/>
              <w:right w:val="double" w:sz="6" w:space="0" w:color="44546A"/>
            </w:tcBorders>
            <w:shd w:val="clear" w:color="auto" w:fill="auto"/>
            <w:vAlign w:val="center"/>
            <w:hideMark/>
          </w:tcPr>
          <w:p w14:paraId="16447C8E" w14:textId="77777777" w:rsidR="009C0BEB" w:rsidRPr="003A6481" w:rsidRDefault="009C0BEB" w:rsidP="00EB031E">
            <w:pPr>
              <w:spacing w:after="0" w:line="240" w:lineRule="auto"/>
              <w:jc w:val="right"/>
              <w:rPr>
                <w:rFonts w:ascii="Book Antiqua" w:eastAsia="Times New Roman" w:hAnsi="Book Antiqua" w:cs="Calibri"/>
                <w:b/>
                <w:bCs/>
                <w:i/>
                <w:iCs/>
                <w:color w:val="000000"/>
                <w:sz w:val="18"/>
                <w:szCs w:val="18"/>
                <w:lang w:eastAsia="es-CR"/>
              </w:rPr>
            </w:pPr>
            <w:r w:rsidRPr="003A6481">
              <w:rPr>
                <w:rFonts w:ascii="Book Antiqua" w:eastAsia="Times New Roman" w:hAnsi="Book Antiqua" w:cs="Calibri"/>
                <w:b/>
                <w:bCs/>
                <w:i/>
                <w:iCs/>
                <w:color w:val="000000"/>
                <w:sz w:val="18"/>
                <w:szCs w:val="18"/>
                <w:lang w:eastAsia="es-CR"/>
              </w:rPr>
              <w:t>Civil</w:t>
            </w:r>
          </w:p>
        </w:tc>
        <w:tc>
          <w:tcPr>
            <w:tcW w:w="439" w:type="pct"/>
            <w:vMerge w:val="restart"/>
            <w:tcBorders>
              <w:top w:val="nil"/>
              <w:left w:val="double" w:sz="6" w:space="0" w:color="44546A"/>
              <w:bottom w:val="double" w:sz="6" w:space="0" w:color="44546A"/>
              <w:right w:val="double" w:sz="6" w:space="0" w:color="44546A"/>
            </w:tcBorders>
            <w:shd w:val="clear" w:color="auto" w:fill="auto"/>
            <w:vAlign w:val="center"/>
            <w:hideMark/>
          </w:tcPr>
          <w:p w14:paraId="5C6B0F27" w14:textId="77777777" w:rsidR="009C0BEB" w:rsidRPr="003A6481" w:rsidRDefault="009C0BEB" w:rsidP="00EB031E">
            <w:pPr>
              <w:spacing w:after="0" w:line="240" w:lineRule="auto"/>
              <w:jc w:val="center"/>
              <w:rPr>
                <w:rFonts w:ascii="Book Antiqua" w:eastAsia="Times New Roman" w:hAnsi="Book Antiqua" w:cs="Calibri"/>
                <w:b/>
                <w:bCs/>
                <w:color w:val="000000"/>
                <w:sz w:val="18"/>
                <w:szCs w:val="18"/>
                <w:lang w:eastAsia="es-CR"/>
              </w:rPr>
            </w:pPr>
            <w:r w:rsidRPr="003A6481">
              <w:rPr>
                <w:rFonts w:ascii="Book Antiqua" w:eastAsia="Times New Roman" w:hAnsi="Book Antiqua" w:cs="Calibri"/>
                <w:b/>
                <w:bCs/>
                <w:color w:val="000000"/>
                <w:sz w:val="18"/>
                <w:szCs w:val="18"/>
                <w:lang w:eastAsia="es-CR"/>
              </w:rPr>
              <w:t>145</w:t>
            </w:r>
          </w:p>
        </w:tc>
        <w:tc>
          <w:tcPr>
            <w:tcW w:w="444" w:type="pct"/>
            <w:tcBorders>
              <w:top w:val="nil"/>
              <w:left w:val="nil"/>
              <w:bottom w:val="double" w:sz="6" w:space="0" w:color="44546A"/>
              <w:right w:val="double" w:sz="6" w:space="0" w:color="44546A"/>
            </w:tcBorders>
            <w:shd w:val="clear" w:color="auto" w:fill="auto"/>
            <w:vAlign w:val="center"/>
            <w:hideMark/>
          </w:tcPr>
          <w:p w14:paraId="12313485" w14:textId="77777777" w:rsidR="009C0BEB" w:rsidRPr="003A6481" w:rsidRDefault="009C0BEB" w:rsidP="00EB031E">
            <w:pPr>
              <w:spacing w:after="0" w:line="240" w:lineRule="auto"/>
              <w:jc w:val="center"/>
              <w:rPr>
                <w:rFonts w:ascii="Book Antiqua" w:eastAsia="Times New Roman" w:hAnsi="Book Antiqua" w:cs="Calibri"/>
                <w:color w:val="000000"/>
                <w:sz w:val="18"/>
                <w:szCs w:val="18"/>
                <w:lang w:eastAsia="es-CR"/>
              </w:rPr>
            </w:pPr>
            <w:r w:rsidRPr="003A6481">
              <w:rPr>
                <w:rFonts w:ascii="Book Antiqua" w:eastAsia="Times New Roman" w:hAnsi="Book Antiqua" w:cs="Calibri"/>
                <w:color w:val="000000"/>
                <w:sz w:val="18"/>
                <w:szCs w:val="18"/>
                <w:lang w:eastAsia="es-CR"/>
              </w:rPr>
              <w:t>94</w:t>
            </w:r>
          </w:p>
        </w:tc>
        <w:tc>
          <w:tcPr>
            <w:tcW w:w="496" w:type="pct"/>
            <w:tcBorders>
              <w:top w:val="nil"/>
              <w:left w:val="nil"/>
              <w:bottom w:val="double" w:sz="6" w:space="0" w:color="44546A"/>
              <w:right w:val="double" w:sz="6" w:space="0" w:color="44546A"/>
            </w:tcBorders>
            <w:shd w:val="clear" w:color="auto" w:fill="auto"/>
            <w:vAlign w:val="center"/>
            <w:hideMark/>
          </w:tcPr>
          <w:p w14:paraId="04B894A2" w14:textId="77777777" w:rsidR="009C0BEB" w:rsidRPr="003A6481" w:rsidRDefault="009C0BEB" w:rsidP="00EB031E">
            <w:pPr>
              <w:spacing w:after="0" w:line="240" w:lineRule="auto"/>
              <w:jc w:val="center"/>
              <w:rPr>
                <w:rFonts w:ascii="Book Antiqua" w:eastAsia="Times New Roman" w:hAnsi="Book Antiqua" w:cs="Calibri"/>
                <w:color w:val="000000"/>
                <w:sz w:val="18"/>
                <w:szCs w:val="18"/>
                <w:lang w:eastAsia="es-CR"/>
              </w:rPr>
            </w:pPr>
            <w:r w:rsidRPr="003A6481">
              <w:rPr>
                <w:rFonts w:ascii="Book Antiqua" w:eastAsia="Times New Roman" w:hAnsi="Book Antiqua" w:cs="Calibri"/>
                <w:color w:val="000000"/>
                <w:sz w:val="18"/>
                <w:szCs w:val="18"/>
                <w:lang w:eastAsia="es-CR"/>
              </w:rPr>
              <w:t>65%</w:t>
            </w:r>
          </w:p>
        </w:tc>
        <w:tc>
          <w:tcPr>
            <w:tcW w:w="506" w:type="pct"/>
            <w:vMerge w:val="restart"/>
            <w:tcBorders>
              <w:top w:val="nil"/>
              <w:left w:val="double" w:sz="6" w:space="0" w:color="44546A"/>
              <w:bottom w:val="double" w:sz="6" w:space="0" w:color="44546A"/>
              <w:right w:val="double" w:sz="6" w:space="0" w:color="44546A"/>
            </w:tcBorders>
            <w:shd w:val="clear" w:color="auto" w:fill="auto"/>
            <w:vAlign w:val="center"/>
            <w:hideMark/>
          </w:tcPr>
          <w:p w14:paraId="382AB4D0" w14:textId="77777777" w:rsidR="009C0BEB" w:rsidRPr="003A6481" w:rsidRDefault="009C0BEB" w:rsidP="00EB031E">
            <w:pPr>
              <w:spacing w:after="0" w:line="240" w:lineRule="auto"/>
              <w:jc w:val="center"/>
              <w:rPr>
                <w:rFonts w:ascii="Book Antiqua" w:eastAsia="Times New Roman" w:hAnsi="Book Antiqua" w:cs="Calibri"/>
                <w:color w:val="000000"/>
                <w:sz w:val="18"/>
                <w:szCs w:val="18"/>
                <w:lang w:eastAsia="es-CR"/>
              </w:rPr>
            </w:pPr>
            <w:r w:rsidRPr="003A6481">
              <w:rPr>
                <w:rFonts w:ascii="Book Antiqua" w:eastAsia="Times New Roman" w:hAnsi="Book Antiqua" w:cs="Calibri"/>
                <w:color w:val="000000"/>
                <w:sz w:val="18"/>
                <w:szCs w:val="18"/>
                <w:lang w:eastAsia="es-CR"/>
              </w:rPr>
              <w:t>6</w:t>
            </w:r>
          </w:p>
        </w:tc>
        <w:tc>
          <w:tcPr>
            <w:tcW w:w="475" w:type="pct"/>
            <w:tcBorders>
              <w:top w:val="nil"/>
              <w:left w:val="nil"/>
              <w:bottom w:val="double" w:sz="6" w:space="0" w:color="44546A"/>
              <w:right w:val="double" w:sz="6" w:space="0" w:color="44546A"/>
            </w:tcBorders>
            <w:shd w:val="clear" w:color="auto" w:fill="auto"/>
            <w:vAlign w:val="center"/>
            <w:hideMark/>
          </w:tcPr>
          <w:p w14:paraId="59675E9C" w14:textId="77777777" w:rsidR="009C0BEB" w:rsidRPr="003A6481" w:rsidRDefault="009C0BEB" w:rsidP="00EB031E">
            <w:pPr>
              <w:spacing w:after="0" w:line="240" w:lineRule="auto"/>
              <w:jc w:val="center"/>
              <w:rPr>
                <w:rFonts w:ascii="Book Antiqua" w:eastAsia="Times New Roman" w:hAnsi="Book Antiqua" w:cs="Calibri"/>
                <w:color w:val="000000"/>
                <w:sz w:val="18"/>
                <w:szCs w:val="18"/>
                <w:lang w:eastAsia="es-CR"/>
              </w:rPr>
            </w:pPr>
            <w:r w:rsidRPr="003A6481">
              <w:rPr>
                <w:rFonts w:ascii="Book Antiqua" w:eastAsia="Times New Roman" w:hAnsi="Book Antiqua" w:cs="Calibri"/>
                <w:color w:val="000000"/>
                <w:sz w:val="18"/>
                <w:szCs w:val="18"/>
                <w:lang w:eastAsia="es-CR"/>
              </w:rPr>
              <w:t>16</w:t>
            </w:r>
          </w:p>
        </w:tc>
        <w:tc>
          <w:tcPr>
            <w:tcW w:w="690" w:type="pct"/>
            <w:tcBorders>
              <w:top w:val="nil"/>
              <w:left w:val="nil"/>
              <w:bottom w:val="double" w:sz="6" w:space="0" w:color="44546A"/>
              <w:right w:val="double" w:sz="6" w:space="0" w:color="44546A"/>
            </w:tcBorders>
            <w:shd w:val="clear" w:color="auto" w:fill="auto"/>
            <w:vAlign w:val="center"/>
            <w:hideMark/>
          </w:tcPr>
          <w:p w14:paraId="6DA578B6" w14:textId="77777777" w:rsidR="009C0BEB" w:rsidRPr="003A6481" w:rsidRDefault="009C0BEB" w:rsidP="00EB031E">
            <w:pPr>
              <w:spacing w:after="0" w:line="240" w:lineRule="auto"/>
              <w:jc w:val="center"/>
              <w:rPr>
                <w:rFonts w:ascii="Book Antiqua" w:eastAsia="Times New Roman" w:hAnsi="Book Antiqua" w:cs="Calibri"/>
                <w:b/>
                <w:bCs/>
                <w:color w:val="000000"/>
                <w:sz w:val="18"/>
                <w:szCs w:val="18"/>
                <w:lang w:eastAsia="es-CR"/>
              </w:rPr>
            </w:pPr>
            <w:r w:rsidRPr="003A6481">
              <w:rPr>
                <w:rFonts w:ascii="Book Antiqua" w:eastAsia="Times New Roman" w:hAnsi="Book Antiqua" w:cs="Calibri"/>
                <w:b/>
                <w:bCs/>
                <w:color w:val="000000"/>
                <w:sz w:val="18"/>
                <w:szCs w:val="18"/>
                <w:lang w:eastAsia="es-CR"/>
              </w:rPr>
              <w:t>11</w:t>
            </w:r>
          </w:p>
        </w:tc>
      </w:tr>
      <w:tr w:rsidR="00EB031E" w:rsidRPr="003A6481" w14:paraId="2E52BC1D" w14:textId="77777777" w:rsidTr="00EB031E">
        <w:trPr>
          <w:trHeight w:val="318"/>
        </w:trPr>
        <w:tc>
          <w:tcPr>
            <w:tcW w:w="1359" w:type="pct"/>
            <w:vMerge/>
            <w:tcBorders>
              <w:top w:val="nil"/>
              <w:left w:val="double" w:sz="6" w:space="0" w:color="44546A"/>
              <w:bottom w:val="double" w:sz="6" w:space="0" w:color="44546A"/>
              <w:right w:val="double" w:sz="6" w:space="0" w:color="44546A"/>
            </w:tcBorders>
            <w:shd w:val="clear" w:color="auto" w:fill="auto"/>
            <w:vAlign w:val="center"/>
            <w:hideMark/>
          </w:tcPr>
          <w:p w14:paraId="3882A57D" w14:textId="77777777" w:rsidR="009C0BEB" w:rsidRPr="003A6481" w:rsidRDefault="009C0BEB" w:rsidP="00EB031E">
            <w:pPr>
              <w:spacing w:after="0" w:line="240" w:lineRule="auto"/>
              <w:rPr>
                <w:rFonts w:ascii="Book Antiqua" w:eastAsia="Times New Roman" w:hAnsi="Book Antiqua" w:cs="Calibri"/>
                <w:sz w:val="18"/>
                <w:szCs w:val="18"/>
                <w:lang w:eastAsia="es-CR"/>
              </w:rPr>
            </w:pPr>
          </w:p>
        </w:tc>
        <w:tc>
          <w:tcPr>
            <w:tcW w:w="591" w:type="pct"/>
            <w:tcBorders>
              <w:top w:val="nil"/>
              <w:left w:val="nil"/>
              <w:bottom w:val="double" w:sz="6" w:space="0" w:color="44546A"/>
              <w:right w:val="double" w:sz="6" w:space="0" w:color="44546A"/>
            </w:tcBorders>
            <w:shd w:val="clear" w:color="auto" w:fill="auto"/>
            <w:vAlign w:val="center"/>
            <w:hideMark/>
          </w:tcPr>
          <w:p w14:paraId="07138787" w14:textId="77777777" w:rsidR="009C0BEB" w:rsidRPr="003A6481" w:rsidRDefault="009C0BEB" w:rsidP="00EB031E">
            <w:pPr>
              <w:spacing w:after="0" w:line="240" w:lineRule="auto"/>
              <w:jc w:val="right"/>
              <w:rPr>
                <w:rFonts w:ascii="Book Antiqua" w:eastAsia="Times New Roman" w:hAnsi="Book Antiqua" w:cs="Calibri"/>
                <w:b/>
                <w:bCs/>
                <w:i/>
                <w:iCs/>
                <w:color w:val="000000"/>
                <w:sz w:val="18"/>
                <w:szCs w:val="18"/>
                <w:lang w:eastAsia="es-CR"/>
              </w:rPr>
            </w:pPr>
            <w:r w:rsidRPr="003A6481">
              <w:rPr>
                <w:rFonts w:ascii="Book Antiqua" w:eastAsia="Times New Roman" w:hAnsi="Book Antiqua" w:cs="Calibri"/>
                <w:b/>
                <w:bCs/>
                <w:i/>
                <w:iCs/>
                <w:color w:val="000000"/>
                <w:sz w:val="18"/>
                <w:szCs w:val="18"/>
                <w:lang w:eastAsia="es-CR"/>
              </w:rPr>
              <w:t>Trabajo</w:t>
            </w:r>
          </w:p>
        </w:tc>
        <w:tc>
          <w:tcPr>
            <w:tcW w:w="439" w:type="pct"/>
            <w:vMerge/>
            <w:tcBorders>
              <w:top w:val="nil"/>
              <w:left w:val="double" w:sz="6" w:space="0" w:color="44546A"/>
              <w:bottom w:val="double" w:sz="6" w:space="0" w:color="44546A"/>
              <w:right w:val="double" w:sz="6" w:space="0" w:color="44546A"/>
            </w:tcBorders>
            <w:shd w:val="clear" w:color="auto" w:fill="auto"/>
            <w:vAlign w:val="center"/>
            <w:hideMark/>
          </w:tcPr>
          <w:p w14:paraId="1343025D" w14:textId="77777777" w:rsidR="009C0BEB" w:rsidRPr="003A6481" w:rsidRDefault="009C0BEB" w:rsidP="00EB031E">
            <w:pPr>
              <w:spacing w:after="0" w:line="240" w:lineRule="auto"/>
              <w:rPr>
                <w:rFonts w:ascii="Book Antiqua" w:eastAsia="Times New Roman" w:hAnsi="Book Antiqua" w:cs="Calibri"/>
                <w:b/>
                <w:bCs/>
                <w:color w:val="000000"/>
                <w:sz w:val="18"/>
                <w:szCs w:val="18"/>
                <w:lang w:eastAsia="es-CR"/>
              </w:rPr>
            </w:pPr>
          </w:p>
        </w:tc>
        <w:tc>
          <w:tcPr>
            <w:tcW w:w="444" w:type="pct"/>
            <w:tcBorders>
              <w:top w:val="nil"/>
              <w:left w:val="nil"/>
              <w:bottom w:val="double" w:sz="6" w:space="0" w:color="44546A"/>
              <w:right w:val="double" w:sz="6" w:space="0" w:color="44546A"/>
            </w:tcBorders>
            <w:shd w:val="clear" w:color="auto" w:fill="auto"/>
            <w:vAlign w:val="center"/>
            <w:hideMark/>
          </w:tcPr>
          <w:p w14:paraId="0CBE65BB" w14:textId="77777777" w:rsidR="009C0BEB" w:rsidRPr="003A6481" w:rsidRDefault="009C0BEB" w:rsidP="00EB031E">
            <w:pPr>
              <w:spacing w:after="0" w:line="240" w:lineRule="auto"/>
              <w:jc w:val="center"/>
              <w:rPr>
                <w:rFonts w:ascii="Book Antiqua" w:eastAsia="Times New Roman" w:hAnsi="Book Antiqua" w:cs="Calibri"/>
                <w:color w:val="000000"/>
                <w:sz w:val="18"/>
                <w:szCs w:val="18"/>
                <w:lang w:eastAsia="es-CR"/>
              </w:rPr>
            </w:pPr>
            <w:r w:rsidRPr="003A6481">
              <w:rPr>
                <w:rFonts w:ascii="Book Antiqua" w:eastAsia="Times New Roman" w:hAnsi="Book Antiqua" w:cs="Calibri"/>
                <w:color w:val="000000"/>
                <w:sz w:val="18"/>
                <w:szCs w:val="18"/>
                <w:lang w:eastAsia="es-CR"/>
              </w:rPr>
              <w:t>50</w:t>
            </w:r>
          </w:p>
        </w:tc>
        <w:tc>
          <w:tcPr>
            <w:tcW w:w="496" w:type="pct"/>
            <w:tcBorders>
              <w:top w:val="nil"/>
              <w:left w:val="nil"/>
              <w:bottom w:val="double" w:sz="6" w:space="0" w:color="44546A"/>
              <w:right w:val="double" w:sz="6" w:space="0" w:color="44546A"/>
            </w:tcBorders>
            <w:shd w:val="clear" w:color="auto" w:fill="auto"/>
            <w:vAlign w:val="center"/>
            <w:hideMark/>
          </w:tcPr>
          <w:p w14:paraId="7F517665" w14:textId="77777777" w:rsidR="009C0BEB" w:rsidRPr="003A6481" w:rsidRDefault="009C0BEB" w:rsidP="00EB031E">
            <w:pPr>
              <w:spacing w:after="0" w:line="240" w:lineRule="auto"/>
              <w:jc w:val="center"/>
              <w:rPr>
                <w:rFonts w:ascii="Book Antiqua" w:eastAsia="Times New Roman" w:hAnsi="Book Antiqua" w:cs="Calibri"/>
                <w:color w:val="000000"/>
                <w:sz w:val="18"/>
                <w:szCs w:val="18"/>
                <w:lang w:eastAsia="es-CR"/>
              </w:rPr>
            </w:pPr>
            <w:r w:rsidRPr="003A6481">
              <w:rPr>
                <w:rFonts w:ascii="Book Antiqua" w:eastAsia="Times New Roman" w:hAnsi="Book Antiqua" w:cs="Calibri"/>
                <w:color w:val="000000"/>
                <w:sz w:val="18"/>
                <w:szCs w:val="18"/>
                <w:lang w:eastAsia="es-CR"/>
              </w:rPr>
              <w:t>35%</w:t>
            </w:r>
          </w:p>
        </w:tc>
        <w:tc>
          <w:tcPr>
            <w:tcW w:w="506" w:type="pct"/>
            <w:vMerge/>
            <w:tcBorders>
              <w:top w:val="nil"/>
              <w:left w:val="double" w:sz="6" w:space="0" w:color="44546A"/>
              <w:bottom w:val="double" w:sz="6" w:space="0" w:color="44546A"/>
              <w:right w:val="double" w:sz="6" w:space="0" w:color="44546A"/>
            </w:tcBorders>
            <w:shd w:val="clear" w:color="auto" w:fill="auto"/>
            <w:vAlign w:val="center"/>
            <w:hideMark/>
          </w:tcPr>
          <w:p w14:paraId="7337FB1F" w14:textId="77777777" w:rsidR="009C0BEB" w:rsidRPr="003A6481" w:rsidRDefault="009C0BEB" w:rsidP="00EB031E">
            <w:pPr>
              <w:spacing w:after="0" w:line="240" w:lineRule="auto"/>
              <w:rPr>
                <w:rFonts w:ascii="Book Antiqua" w:eastAsia="Times New Roman" w:hAnsi="Book Antiqua" w:cs="Calibri"/>
                <w:color w:val="000000"/>
                <w:sz w:val="18"/>
                <w:szCs w:val="18"/>
                <w:lang w:eastAsia="es-CR"/>
              </w:rPr>
            </w:pPr>
          </w:p>
        </w:tc>
        <w:tc>
          <w:tcPr>
            <w:tcW w:w="475" w:type="pct"/>
            <w:tcBorders>
              <w:top w:val="nil"/>
              <w:left w:val="nil"/>
              <w:bottom w:val="double" w:sz="6" w:space="0" w:color="44546A"/>
              <w:right w:val="double" w:sz="6" w:space="0" w:color="44546A"/>
            </w:tcBorders>
            <w:shd w:val="clear" w:color="auto" w:fill="auto"/>
            <w:vAlign w:val="center"/>
            <w:hideMark/>
          </w:tcPr>
          <w:p w14:paraId="45A9CCF9" w14:textId="77777777" w:rsidR="009C0BEB" w:rsidRPr="003A6481" w:rsidRDefault="009C0BEB" w:rsidP="00EB031E">
            <w:pPr>
              <w:spacing w:after="0" w:line="240" w:lineRule="auto"/>
              <w:jc w:val="center"/>
              <w:rPr>
                <w:rFonts w:ascii="Book Antiqua" w:eastAsia="Times New Roman" w:hAnsi="Book Antiqua" w:cs="Calibri"/>
                <w:color w:val="000000"/>
                <w:sz w:val="18"/>
                <w:szCs w:val="18"/>
                <w:lang w:eastAsia="es-CR"/>
              </w:rPr>
            </w:pPr>
            <w:r w:rsidRPr="003A6481">
              <w:rPr>
                <w:rFonts w:ascii="Book Antiqua" w:eastAsia="Times New Roman" w:hAnsi="Book Antiqua" w:cs="Calibri"/>
                <w:color w:val="000000"/>
                <w:sz w:val="18"/>
                <w:szCs w:val="18"/>
                <w:lang w:eastAsia="es-CR"/>
              </w:rPr>
              <w:t>8</w:t>
            </w:r>
          </w:p>
        </w:tc>
        <w:tc>
          <w:tcPr>
            <w:tcW w:w="690" w:type="pct"/>
            <w:tcBorders>
              <w:top w:val="nil"/>
              <w:left w:val="nil"/>
              <w:bottom w:val="double" w:sz="6" w:space="0" w:color="44546A"/>
              <w:right w:val="double" w:sz="6" w:space="0" w:color="44546A"/>
            </w:tcBorders>
            <w:shd w:val="clear" w:color="auto" w:fill="auto"/>
            <w:vAlign w:val="center"/>
            <w:hideMark/>
          </w:tcPr>
          <w:p w14:paraId="1E2937EA" w14:textId="77777777" w:rsidR="009C0BEB" w:rsidRPr="003A6481" w:rsidRDefault="009C0BEB" w:rsidP="00EB031E">
            <w:pPr>
              <w:spacing w:after="0" w:line="240" w:lineRule="auto"/>
              <w:jc w:val="center"/>
              <w:rPr>
                <w:rFonts w:ascii="Book Antiqua" w:eastAsia="Times New Roman" w:hAnsi="Book Antiqua" w:cs="Calibri"/>
                <w:b/>
                <w:bCs/>
                <w:color w:val="000000"/>
                <w:sz w:val="18"/>
                <w:szCs w:val="18"/>
                <w:lang w:eastAsia="es-CR"/>
              </w:rPr>
            </w:pPr>
            <w:r w:rsidRPr="003A6481">
              <w:rPr>
                <w:rFonts w:ascii="Book Antiqua" w:eastAsia="Times New Roman" w:hAnsi="Book Antiqua" w:cs="Calibri"/>
                <w:b/>
                <w:bCs/>
                <w:color w:val="000000"/>
                <w:sz w:val="18"/>
                <w:szCs w:val="18"/>
                <w:lang w:eastAsia="es-CR"/>
              </w:rPr>
              <w:t>6</w:t>
            </w:r>
          </w:p>
        </w:tc>
      </w:tr>
    </w:tbl>
    <w:p w14:paraId="503D1EA9" w14:textId="65CC7A0D" w:rsidR="00E260EA" w:rsidRDefault="00E260EA" w:rsidP="00E260EA">
      <w:pPr>
        <w:jc w:val="both"/>
        <w:rPr>
          <w:rFonts w:ascii="Book Antiqua" w:hAnsi="Book Antiqua"/>
          <w:b/>
          <w:i/>
          <w:sz w:val="20"/>
        </w:rPr>
      </w:pPr>
      <w:r w:rsidRPr="00410ED4">
        <w:rPr>
          <w:rFonts w:ascii="Book Antiqua" w:hAnsi="Book Antiqua"/>
          <w:b/>
          <w:i/>
          <w:sz w:val="20"/>
        </w:rPr>
        <w:t xml:space="preserve">Fuente: </w:t>
      </w:r>
      <w:r w:rsidR="00773476" w:rsidRPr="003A6481">
        <w:rPr>
          <w:rFonts w:ascii="Book Antiqua" w:hAnsi="Book Antiqua"/>
          <w:bCs/>
          <w:i/>
          <w:sz w:val="20"/>
        </w:rPr>
        <w:t>Elaboración propia con base en datos del sistema SIGMA y Anuarios Judiciales, Subproceso de Modernización</w:t>
      </w:r>
      <w:r w:rsidR="00773476">
        <w:rPr>
          <w:rFonts w:ascii="Book Antiqua" w:hAnsi="Book Antiqua"/>
          <w:b/>
          <w:i/>
          <w:sz w:val="20"/>
        </w:rPr>
        <w:t>.</w:t>
      </w:r>
    </w:p>
    <w:p w14:paraId="53CE19E7" w14:textId="54769F46" w:rsidR="00E260EA" w:rsidRDefault="00E260EA" w:rsidP="00E260EA">
      <w:pPr>
        <w:jc w:val="both"/>
        <w:rPr>
          <w:rFonts w:ascii="Book Antiqua" w:hAnsi="Book Antiqua"/>
          <w:bCs/>
          <w:iCs/>
          <w:szCs w:val="24"/>
        </w:rPr>
      </w:pPr>
      <w:r>
        <w:rPr>
          <w:rFonts w:ascii="Book Antiqua" w:hAnsi="Book Antiqua"/>
          <w:bCs/>
          <w:iCs/>
          <w:szCs w:val="24"/>
        </w:rPr>
        <w:t>L</w:t>
      </w:r>
      <w:r w:rsidRPr="00554D09">
        <w:rPr>
          <w:rFonts w:ascii="Book Antiqua" w:hAnsi="Book Antiqua"/>
          <w:bCs/>
          <w:iCs/>
          <w:szCs w:val="24"/>
        </w:rPr>
        <w:t>a carga de trabajo</w:t>
      </w:r>
      <w:r>
        <w:rPr>
          <w:rFonts w:ascii="Book Antiqua" w:hAnsi="Book Antiqua"/>
          <w:bCs/>
          <w:iCs/>
          <w:szCs w:val="24"/>
        </w:rPr>
        <w:t xml:space="preserve"> promedio mensual por persona juzgadora sería de 2</w:t>
      </w:r>
      <w:r w:rsidR="00D82DA9">
        <w:rPr>
          <w:rFonts w:ascii="Book Antiqua" w:hAnsi="Book Antiqua"/>
          <w:bCs/>
          <w:iCs/>
          <w:szCs w:val="24"/>
        </w:rPr>
        <w:t>4</w:t>
      </w:r>
      <w:r>
        <w:rPr>
          <w:rFonts w:ascii="Book Antiqua" w:hAnsi="Book Antiqua"/>
          <w:bCs/>
          <w:iCs/>
          <w:szCs w:val="24"/>
        </w:rPr>
        <w:t xml:space="preserve"> casos, de los cuales </w:t>
      </w:r>
      <w:r w:rsidR="00D82DA9">
        <w:rPr>
          <w:rFonts w:ascii="Book Antiqua" w:hAnsi="Book Antiqua"/>
          <w:bCs/>
          <w:iCs/>
          <w:szCs w:val="24"/>
        </w:rPr>
        <w:t xml:space="preserve">16 </w:t>
      </w:r>
      <w:r>
        <w:rPr>
          <w:rFonts w:ascii="Book Antiqua" w:hAnsi="Book Antiqua"/>
          <w:bCs/>
          <w:iCs/>
          <w:szCs w:val="24"/>
        </w:rPr>
        <w:t xml:space="preserve">asuntos serían en materia Civil y </w:t>
      </w:r>
      <w:r w:rsidR="00D82DA9">
        <w:rPr>
          <w:rFonts w:ascii="Book Antiqua" w:hAnsi="Book Antiqua"/>
          <w:bCs/>
          <w:iCs/>
          <w:szCs w:val="24"/>
        </w:rPr>
        <w:t xml:space="preserve">8 </w:t>
      </w:r>
      <w:r>
        <w:rPr>
          <w:rFonts w:ascii="Book Antiqua" w:hAnsi="Book Antiqua"/>
          <w:bCs/>
          <w:iCs/>
          <w:szCs w:val="24"/>
        </w:rPr>
        <w:t xml:space="preserve">en materia de Trabajo, lo cual beneficiaría al Despacho la homologación en la atención de las materias al contar con </w:t>
      </w:r>
      <w:r w:rsidR="00D82DA9">
        <w:rPr>
          <w:rFonts w:ascii="Book Antiqua" w:hAnsi="Book Antiqua"/>
          <w:bCs/>
          <w:iCs/>
          <w:szCs w:val="24"/>
        </w:rPr>
        <w:t>personas juzgadoras</w:t>
      </w:r>
      <w:r>
        <w:rPr>
          <w:rFonts w:ascii="Book Antiqua" w:hAnsi="Book Antiqua"/>
          <w:bCs/>
          <w:iCs/>
          <w:szCs w:val="24"/>
        </w:rPr>
        <w:t xml:space="preserve"> preparad</w:t>
      </w:r>
      <w:r w:rsidR="00D82DA9">
        <w:rPr>
          <w:rFonts w:ascii="Book Antiqua" w:hAnsi="Book Antiqua"/>
          <w:bCs/>
          <w:iCs/>
          <w:szCs w:val="24"/>
        </w:rPr>
        <w:t>a</w:t>
      </w:r>
      <w:r>
        <w:rPr>
          <w:rFonts w:ascii="Book Antiqua" w:hAnsi="Book Antiqua"/>
          <w:bCs/>
          <w:iCs/>
          <w:szCs w:val="24"/>
        </w:rPr>
        <w:t>s y especializad</w:t>
      </w:r>
      <w:r w:rsidR="00D82DA9">
        <w:rPr>
          <w:rFonts w:ascii="Book Antiqua" w:hAnsi="Book Antiqua"/>
          <w:bCs/>
          <w:iCs/>
          <w:szCs w:val="24"/>
        </w:rPr>
        <w:t>a</w:t>
      </w:r>
      <w:r>
        <w:rPr>
          <w:rFonts w:ascii="Book Antiqua" w:hAnsi="Book Antiqua"/>
          <w:bCs/>
          <w:iCs/>
          <w:szCs w:val="24"/>
        </w:rPr>
        <w:t xml:space="preserve">s en el conocimiento de </w:t>
      </w:r>
      <w:r w:rsidR="006A07A0">
        <w:rPr>
          <w:rFonts w:ascii="Book Antiqua" w:hAnsi="Book Antiqua"/>
          <w:bCs/>
          <w:iCs/>
          <w:szCs w:val="24"/>
        </w:rPr>
        <w:t xml:space="preserve">ambos </w:t>
      </w:r>
      <w:r>
        <w:rPr>
          <w:rFonts w:ascii="Book Antiqua" w:hAnsi="Book Antiqua"/>
          <w:bCs/>
          <w:iCs/>
          <w:szCs w:val="24"/>
        </w:rPr>
        <w:t>procesos.</w:t>
      </w:r>
    </w:p>
    <w:p w14:paraId="49E2CA10" w14:textId="0DF32D5C" w:rsidR="00DD3B81" w:rsidRDefault="00DD3B81" w:rsidP="00E260EA">
      <w:pPr>
        <w:jc w:val="both"/>
        <w:rPr>
          <w:rFonts w:ascii="Book Antiqua" w:hAnsi="Book Antiqua"/>
          <w:bCs/>
          <w:iCs/>
          <w:szCs w:val="24"/>
        </w:rPr>
      </w:pPr>
    </w:p>
    <w:p w14:paraId="451FE209" w14:textId="732F5546" w:rsidR="00535C15" w:rsidRDefault="00535C15" w:rsidP="00E260EA">
      <w:pPr>
        <w:jc w:val="both"/>
        <w:rPr>
          <w:rFonts w:ascii="Book Antiqua" w:hAnsi="Book Antiqua"/>
          <w:bCs/>
          <w:iCs/>
          <w:szCs w:val="24"/>
        </w:rPr>
      </w:pPr>
    </w:p>
    <w:p w14:paraId="79E74EBE" w14:textId="77777777" w:rsidR="00535C15" w:rsidRPr="00BF69DA" w:rsidRDefault="00535C15" w:rsidP="00E260EA">
      <w:pPr>
        <w:jc w:val="both"/>
        <w:rPr>
          <w:rFonts w:ascii="Book Antiqua" w:hAnsi="Book Antiqua"/>
          <w:bCs/>
          <w:iCs/>
          <w:szCs w:val="24"/>
        </w:rPr>
      </w:pPr>
    </w:p>
    <w:p w14:paraId="4399163A" w14:textId="4990F443" w:rsidR="00E260EA" w:rsidRPr="00331010" w:rsidRDefault="00ED3D94" w:rsidP="009C259C">
      <w:pPr>
        <w:pStyle w:val="Ttulo3"/>
        <w:numPr>
          <w:ilvl w:val="1"/>
          <w:numId w:val="15"/>
        </w:numPr>
        <w:rPr>
          <w:rFonts w:ascii="Book Antiqua" w:hAnsi="Book Antiqua"/>
          <w:b/>
          <w:bCs/>
        </w:rPr>
      </w:pPr>
      <w:r w:rsidRPr="00331010">
        <w:rPr>
          <w:rFonts w:ascii="Book Antiqua" w:hAnsi="Book Antiqua"/>
          <w:b/>
          <w:bCs/>
        </w:rPr>
        <w:t xml:space="preserve">Herramienta </w:t>
      </w:r>
      <w:r w:rsidR="004A5747" w:rsidRPr="00331010">
        <w:rPr>
          <w:rFonts w:ascii="Book Antiqua" w:hAnsi="Book Antiqua"/>
          <w:b/>
          <w:bCs/>
        </w:rPr>
        <w:t xml:space="preserve">de Reparto de Asuntos Nuevos </w:t>
      </w:r>
    </w:p>
    <w:p w14:paraId="590DE7DE" w14:textId="77777777" w:rsidR="009A6F39" w:rsidRDefault="009A6F39" w:rsidP="004A5747">
      <w:pPr>
        <w:spacing w:line="276" w:lineRule="auto"/>
        <w:jc w:val="both"/>
        <w:rPr>
          <w:rFonts w:ascii="Book Antiqua" w:hAnsi="Book Antiqua"/>
        </w:rPr>
      </w:pPr>
    </w:p>
    <w:p w14:paraId="5D4389D2" w14:textId="2E99B051" w:rsidR="004A5747" w:rsidRPr="00331010" w:rsidRDefault="004A5747" w:rsidP="004A5747">
      <w:pPr>
        <w:spacing w:line="276" w:lineRule="auto"/>
        <w:jc w:val="both"/>
        <w:rPr>
          <w:rFonts w:ascii="Book Antiqua" w:hAnsi="Book Antiqua"/>
        </w:rPr>
      </w:pPr>
      <w:r w:rsidRPr="00331010">
        <w:rPr>
          <w:rFonts w:ascii="Book Antiqua" w:hAnsi="Book Antiqua"/>
        </w:rPr>
        <w:t xml:space="preserve">Con relación a la solicitud de especialización por materia del Tribunal de Apelación Civil y Laboral de Alajuela indicada en el oficio 6634-18, acuerdo tomado por el Consejo Superior del Poder Judicial, en la sesión </w:t>
      </w:r>
      <w:r w:rsidRPr="00331010">
        <w:rPr>
          <w:rFonts w:ascii="Book Antiqua" w:hAnsi="Book Antiqua"/>
          <w:b/>
          <w:bCs/>
        </w:rPr>
        <w:t xml:space="preserve">N° 58-18 </w:t>
      </w:r>
      <w:r w:rsidRPr="00331010">
        <w:rPr>
          <w:rFonts w:ascii="Book Antiqua" w:hAnsi="Book Antiqua"/>
          <w:bCs/>
        </w:rPr>
        <w:t>c</w:t>
      </w:r>
      <w:r w:rsidRPr="00331010">
        <w:rPr>
          <w:rFonts w:ascii="Book Antiqua" w:hAnsi="Book Antiqua"/>
        </w:rPr>
        <w:t xml:space="preserve">elebrada el </w:t>
      </w:r>
      <w:r w:rsidRPr="00331010">
        <w:rPr>
          <w:rFonts w:ascii="Book Antiqua" w:hAnsi="Book Antiqua"/>
          <w:b/>
        </w:rPr>
        <w:t>28</w:t>
      </w:r>
      <w:r w:rsidRPr="00331010">
        <w:rPr>
          <w:rFonts w:ascii="Book Antiqua" w:hAnsi="Book Antiqua"/>
          <w:b/>
          <w:bCs/>
        </w:rPr>
        <w:t xml:space="preserve"> de junio del 2018, artículo L</w:t>
      </w:r>
      <w:r w:rsidRPr="00331010">
        <w:rPr>
          <w:rFonts w:ascii="Book Antiqua" w:hAnsi="Book Antiqua"/>
        </w:rPr>
        <w:t xml:space="preserve"> :</w:t>
      </w:r>
    </w:p>
    <w:p w14:paraId="1674F0CD" w14:textId="7984204B" w:rsidR="00ED3D94" w:rsidRPr="00331010" w:rsidRDefault="00ED3D94" w:rsidP="00ED3D94">
      <w:pPr>
        <w:ind w:left="567" w:right="474"/>
        <w:jc w:val="both"/>
        <w:rPr>
          <w:rFonts w:ascii="Book Antiqua" w:hAnsi="Book Antiqua"/>
          <w:i/>
          <w:iCs/>
        </w:rPr>
      </w:pPr>
      <w:r w:rsidRPr="00331010">
        <w:rPr>
          <w:rFonts w:ascii="Book Antiqua" w:hAnsi="Book Antiqua"/>
          <w:b/>
          <w:i/>
          <w:iCs/>
          <w:lang w:eastAsia="es-CR"/>
        </w:rPr>
        <w:t xml:space="preserve">“…F) </w:t>
      </w:r>
      <w:r w:rsidRPr="00331010">
        <w:rPr>
          <w:rFonts w:ascii="Book Antiqua" w:hAnsi="Book Antiqua"/>
          <w:i/>
          <w:iCs/>
          <w:lang w:eastAsia="es-CR"/>
        </w:rPr>
        <w:t>L</w:t>
      </w:r>
      <w:r w:rsidRPr="00331010">
        <w:rPr>
          <w:rFonts w:ascii="Book Antiqua" w:hAnsi="Book Antiqua"/>
          <w:bCs/>
          <w:i/>
          <w:iCs/>
          <w:snapToGrid w:val="0"/>
          <w:lang w:eastAsia="es-CR"/>
        </w:rPr>
        <w:t>a Dirección de Planificación deberá realizar los siguientes abordajes:</w:t>
      </w:r>
      <w:r w:rsidRPr="00331010">
        <w:rPr>
          <w:rFonts w:ascii="Book Antiqua" w:hAnsi="Book Antiqua"/>
          <w:b/>
          <w:i/>
          <w:iCs/>
        </w:rPr>
        <w:t xml:space="preserve"> </w:t>
      </w:r>
      <w:r w:rsidRPr="00331010">
        <w:rPr>
          <w:rFonts w:ascii="Book Antiqua" w:hAnsi="Book Antiqua"/>
          <w:b/>
          <w:i/>
          <w:iCs/>
          <w:lang w:eastAsia="es-CR"/>
        </w:rPr>
        <w:t xml:space="preserve">F.1.) </w:t>
      </w:r>
      <w:r w:rsidRPr="00331010">
        <w:rPr>
          <w:rFonts w:ascii="Book Antiqua" w:hAnsi="Book Antiqua"/>
          <w:i/>
          <w:iCs/>
        </w:rPr>
        <w:t xml:space="preserve">En el Tribunal de Apelaciones Civil y Trabajo de Cartago y el Tribunal de Apelaciones Civil y Trabajo de Alajuela, los siguientes: </w:t>
      </w:r>
      <w:r w:rsidR="004A5747" w:rsidRPr="00331010">
        <w:rPr>
          <w:rFonts w:ascii="Book Antiqua" w:hAnsi="Book Antiqua"/>
          <w:b/>
          <w:i/>
          <w:iCs/>
        </w:rPr>
        <w:t>…</w:t>
      </w:r>
      <w:r w:rsidRPr="00331010">
        <w:rPr>
          <w:rFonts w:ascii="Book Antiqua" w:hAnsi="Book Antiqua"/>
          <w:i/>
          <w:iCs/>
        </w:rPr>
        <w:t>.</w:t>
      </w:r>
      <w:r w:rsidRPr="00331010">
        <w:rPr>
          <w:rFonts w:ascii="Book Antiqua" w:hAnsi="Book Antiqua"/>
          <w:b/>
          <w:i/>
          <w:iCs/>
        </w:rPr>
        <w:t xml:space="preserve"> F.1.b.)</w:t>
      </w:r>
      <w:r w:rsidRPr="00331010">
        <w:rPr>
          <w:rFonts w:ascii="Book Antiqua" w:hAnsi="Book Antiqua"/>
          <w:i/>
          <w:iCs/>
        </w:rPr>
        <w:t xml:space="preserve"> Deberá dotar de una herramienta para el reparto de procesos por materia Civil y de Trabajo. </w:t>
      </w:r>
      <w:r w:rsidRPr="00331010">
        <w:rPr>
          <w:rFonts w:ascii="Book Antiqua" w:hAnsi="Book Antiqua"/>
          <w:b/>
          <w:i/>
          <w:iCs/>
        </w:rPr>
        <w:t>F.1.c.)</w:t>
      </w:r>
      <w:r w:rsidRPr="00331010">
        <w:rPr>
          <w:rFonts w:ascii="Book Antiqua" w:hAnsi="Book Antiqua"/>
          <w:i/>
          <w:iCs/>
        </w:rPr>
        <w:t xml:space="preserve"> Capacitará en el uso de la herramienta para equiparar las cargas de trabajo y del uso de los indicadores</w:t>
      </w:r>
      <w:r w:rsidR="004A5747" w:rsidRPr="00331010">
        <w:rPr>
          <w:rFonts w:ascii="Book Antiqua" w:hAnsi="Book Antiqua"/>
          <w:i/>
          <w:iCs/>
        </w:rPr>
        <w:t xml:space="preserve"> </w:t>
      </w:r>
      <w:r w:rsidRPr="00331010">
        <w:rPr>
          <w:rFonts w:ascii="Book Antiqua" w:hAnsi="Book Antiqua"/>
          <w:i/>
          <w:iCs/>
        </w:rPr>
        <w:t>…”</w:t>
      </w:r>
      <w:r w:rsidR="00367B1E">
        <w:rPr>
          <w:rFonts w:ascii="Book Antiqua" w:hAnsi="Book Antiqua"/>
          <w:i/>
          <w:iCs/>
        </w:rPr>
        <w:t>.</w:t>
      </w:r>
    </w:p>
    <w:p w14:paraId="4B095B28" w14:textId="77777777" w:rsidR="00AE7A00" w:rsidRPr="00DB3347" w:rsidRDefault="00AE7A00" w:rsidP="00784D13">
      <w:pPr>
        <w:widowControl w:val="0"/>
        <w:autoSpaceDE w:val="0"/>
        <w:autoSpaceDN w:val="0"/>
        <w:adjustRightInd w:val="0"/>
        <w:spacing w:after="0" w:line="276" w:lineRule="auto"/>
        <w:ind w:right="49"/>
        <w:jc w:val="both"/>
        <w:rPr>
          <w:rFonts w:ascii="Book Antiqua" w:hAnsi="Book Antiqua"/>
        </w:rPr>
      </w:pPr>
    </w:p>
    <w:p w14:paraId="098168CF" w14:textId="6F0AC9DA" w:rsidR="004B7F5F" w:rsidRPr="00DB3347" w:rsidRDefault="00167D8E" w:rsidP="00784D13">
      <w:pPr>
        <w:widowControl w:val="0"/>
        <w:autoSpaceDE w:val="0"/>
        <w:autoSpaceDN w:val="0"/>
        <w:adjustRightInd w:val="0"/>
        <w:spacing w:after="0" w:line="276" w:lineRule="auto"/>
        <w:ind w:right="49"/>
        <w:jc w:val="both"/>
        <w:rPr>
          <w:rFonts w:ascii="Book Antiqua" w:hAnsi="Book Antiqua"/>
        </w:rPr>
      </w:pPr>
      <w:r w:rsidRPr="00DB3347">
        <w:rPr>
          <w:rFonts w:ascii="Book Antiqua" w:hAnsi="Book Antiqua"/>
        </w:rPr>
        <w:t>La Dirección de Planificación informa que m</w:t>
      </w:r>
      <w:r w:rsidR="007729BF" w:rsidRPr="00DB3347">
        <w:rPr>
          <w:rFonts w:ascii="Book Antiqua" w:hAnsi="Book Antiqua"/>
        </w:rPr>
        <w:t>ediante acuerdo de</w:t>
      </w:r>
      <w:r w:rsidR="004B7F5F" w:rsidRPr="00DB3347">
        <w:rPr>
          <w:rFonts w:ascii="Book Antiqua" w:hAnsi="Book Antiqua"/>
        </w:rPr>
        <w:t>l Consejo Superior, en sesión 94-17, artículo LV celebrada el 12 de octubre de 2017 aprobó el informe 1488-PLA-201</w:t>
      </w:r>
      <w:r w:rsidRPr="00DB3347">
        <w:rPr>
          <w:rFonts w:ascii="Book Antiqua" w:hAnsi="Book Antiqua"/>
        </w:rPr>
        <w:t>7</w:t>
      </w:r>
      <w:r w:rsidR="004B7F5F" w:rsidRPr="00DB3347">
        <w:rPr>
          <w:rFonts w:ascii="Book Antiqua" w:hAnsi="Book Antiqua"/>
        </w:rPr>
        <w:t xml:space="preserve"> de la Dirección de Planificación </w:t>
      </w:r>
      <w:r w:rsidRPr="00DB3347">
        <w:rPr>
          <w:rFonts w:ascii="Book Antiqua" w:hAnsi="Book Antiqua"/>
        </w:rPr>
        <w:t>relacionado con</w:t>
      </w:r>
      <w:r w:rsidR="004B7F5F" w:rsidRPr="00DB3347">
        <w:rPr>
          <w:rFonts w:ascii="Book Antiqua" w:hAnsi="Book Antiqua"/>
        </w:rPr>
        <w:t xml:space="preserve"> el abordaje realizado en la Sección Civil y de Trabajo del Tribunal de Juicio del Primer Circuito Judicial de Alajuela, actual Tribunal de Apelaciones Civil y de Trabajo de Alajuela en el marco de la Reforma al Código de Trabajo</w:t>
      </w:r>
      <w:r w:rsidRPr="00DB3347">
        <w:rPr>
          <w:rFonts w:ascii="Book Antiqua" w:hAnsi="Book Antiqua"/>
        </w:rPr>
        <w:t xml:space="preserve">, en dicho informe se identificó como Oportunidad de Mejora </w:t>
      </w:r>
      <w:r w:rsidR="004A6B77" w:rsidRPr="008B5762">
        <w:rPr>
          <w:rFonts w:ascii="Book Antiqua" w:hAnsi="Book Antiqua"/>
        </w:rPr>
        <w:t>la “</w:t>
      </w:r>
      <w:r w:rsidR="004A6B77" w:rsidRPr="00DB3347">
        <w:rPr>
          <w:rFonts w:ascii="Book Antiqua" w:hAnsi="Book Antiqua" w:cs="Arial"/>
          <w:b/>
          <w:i/>
          <w:sz w:val="24"/>
          <w:szCs w:val="24"/>
        </w:rPr>
        <w:t>Utilización de nueva  herramienta electrónica para la distribución de asuntos ingresados</w:t>
      </w:r>
      <w:r w:rsidR="004A6B77" w:rsidRPr="008B5762">
        <w:rPr>
          <w:rFonts w:ascii="Book Antiqua" w:hAnsi="Book Antiqua" w:cs="Arial"/>
          <w:b/>
          <w:sz w:val="24"/>
          <w:szCs w:val="24"/>
        </w:rPr>
        <w:t>”</w:t>
      </w:r>
      <w:r w:rsidRPr="00DB3347">
        <w:rPr>
          <w:rFonts w:ascii="Book Antiqua" w:hAnsi="Book Antiqua"/>
        </w:rPr>
        <w:t xml:space="preserve">  </w:t>
      </w:r>
      <w:r w:rsidR="004A6B77" w:rsidRPr="00DB3347">
        <w:rPr>
          <w:rFonts w:ascii="Book Antiqua" w:hAnsi="Book Antiqua"/>
        </w:rPr>
        <w:t xml:space="preserve">dicha herramienta se adjunta en el informe antes mencionado.  </w:t>
      </w:r>
      <w:r w:rsidR="004B7F5F" w:rsidRPr="00DB3347">
        <w:rPr>
          <w:rFonts w:ascii="Book Antiqua" w:hAnsi="Book Antiqua"/>
        </w:rPr>
        <w:t xml:space="preserve">En el siguiente enlace, se puede encontrar el documento, así como en el apéndice </w:t>
      </w:r>
      <w:r w:rsidR="004A6B77" w:rsidRPr="00DB3347">
        <w:rPr>
          <w:rFonts w:ascii="Book Antiqua" w:hAnsi="Book Antiqua"/>
        </w:rPr>
        <w:t>3</w:t>
      </w:r>
      <w:r w:rsidR="004B7F5F" w:rsidRPr="00DB3347">
        <w:rPr>
          <w:rFonts w:ascii="Book Antiqua" w:hAnsi="Book Antiqua"/>
        </w:rPr>
        <w:t xml:space="preserve"> de este informe.</w:t>
      </w:r>
      <w:r w:rsidR="007729BF" w:rsidRPr="00DB3347">
        <w:rPr>
          <w:rFonts w:ascii="Book Antiqua" w:hAnsi="Book Antiqua"/>
        </w:rPr>
        <w:t xml:space="preserve"> </w:t>
      </w:r>
    </w:p>
    <w:p w14:paraId="518E520E" w14:textId="0CF79584" w:rsidR="004A6B77" w:rsidRPr="00575DFB" w:rsidRDefault="004A6B77" w:rsidP="00AE69B0">
      <w:pPr>
        <w:widowControl w:val="0"/>
        <w:autoSpaceDE w:val="0"/>
        <w:autoSpaceDN w:val="0"/>
        <w:adjustRightInd w:val="0"/>
        <w:spacing w:after="0" w:line="276" w:lineRule="auto"/>
        <w:ind w:right="49"/>
        <w:jc w:val="center"/>
        <w:rPr>
          <w:rFonts w:ascii="Book Antiqua" w:hAnsi="Book Antiqua"/>
        </w:rPr>
      </w:pPr>
      <w:r w:rsidRPr="008B5762">
        <w:rPr>
          <w:rFonts w:ascii="Times New Roman" w:hAnsi="Times New Roman" w:cs="Times New Roman"/>
          <w:color w:val="000000" w:themeColor="text1"/>
        </w:rPr>
        <w:t>(</w:t>
      </w:r>
      <w:hyperlink r:id="rId16" w:history="1">
        <w:r w:rsidRPr="00EE048F">
          <w:rPr>
            <w:rStyle w:val="Hipervnculo"/>
            <w:i/>
          </w:rPr>
          <w:t>https://www.poder-judicial.go.cr/planificacion/index.php/proyeccion-institucional/reformalaboral/file/1019-1488-pla-2017-tribunal-de-apelaciones-alajuela</w:t>
        </w:r>
      </w:hyperlink>
      <w:r w:rsidRPr="008B5762">
        <w:rPr>
          <w:rFonts w:ascii="Times New Roman" w:hAnsi="Times New Roman" w:cs="Times New Roman"/>
          <w:color w:val="000000" w:themeColor="text1"/>
        </w:rPr>
        <w:t>)</w:t>
      </w:r>
    </w:p>
    <w:p w14:paraId="42644FCD" w14:textId="25884423" w:rsidR="001143AF" w:rsidRPr="00575DFB" w:rsidRDefault="001143AF" w:rsidP="00485A3C">
      <w:pPr>
        <w:widowControl w:val="0"/>
        <w:autoSpaceDE w:val="0"/>
        <w:autoSpaceDN w:val="0"/>
        <w:adjustRightInd w:val="0"/>
        <w:spacing w:after="0" w:line="276" w:lineRule="auto"/>
        <w:ind w:right="49"/>
        <w:jc w:val="both"/>
        <w:rPr>
          <w:rFonts w:ascii="Book Antiqua" w:hAnsi="Book Antiqua"/>
        </w:rPr>
      </w:pPr>
    </w:p>
    <w:p w14:paraId="77AAB027" w14:textId="4706A7E7" w:rsidR="001143AF" w:rsidRPr="00DB3347" w:rsidRDefault="001143AF" w:rsidP="00485A3C">
      <w:pPr>
        <w:widowControl w:val="0"/>
        <w:autoSpaceDE w:val="0"/>
        <w:autoSpaceDN w:val="0"/>
        <w:adjustRightInd w:val="0"/>
        <w:spacing w:after="0" w:line="276" w:lineRule="auto"/>
        <w:ind w:right="49"/>
        <w:jc w:val="both"/>
        <w:rPr>
          <w:rFonts w:ascii="Book Antiqua" w:hAnsi="Book Antiqua"/>
        </w:rPr>
      </w:pPr>
      <w:r w:rsidRPr="00575DFB">
        <w:rPr>
          <w:rFonts w:ascii="Book Antiqua" w:hAnsi="Book Antiqua"/>
        </w:rPr>
        <w:t xml:space="preserve">Es importante mencionar </w:t>
      </w:r>
      <w:r w:rsidR="003F2C39" w:rsidRPr="00575DFB">
        <w:rPr>
          <w:rFonts w:ascii="Book Antiqua" w:hAnsi="Book Antiqua"/>
        </w:rPr>
        <w:t>que,</w:t>
      </w:r>
      <w:r w:rsidRPr="00575DFB">
        <w:rPr>
          <w:rFonts w:ascii="Book Antiqua" w:hAnsi="Book Antiqua"/>
        </w:rPr>
        <w:t xml:space="preserve"> como parte </w:t>
      </w:r>
      <w:r w:rsidR="00ED5BF1" w:rsidRPr="00575DFB">
        <w:rPr>
          <w:rFonts w:ascii="Book Antiqua" w:hAnsi="Book Antiqua"/>
        </w:rPr>
        <w:t xml:space="preserve">del Modelo de Sostenibilidad </w:t>
      </w:r>
      <w:r w:rsidR="004A6B77" w:rsidRPr="00DB3347">
        <w:rPr>
          <w:rFonts w:ascii="Book Antiqua" w:hAnsi="Book Antiqua"/>
        </w:rPr>
        <w:t xml:space="preserve">en el Circuito de Alajuela </w:t>
      </w:r>
      <w:r w:rsidR="00ED5BF1" w:rsidRPr="008B5762">
        <w:rPr>
          <w:rFonts w:ascii="Book Antiqua" w:hAnsi="Book Antiqua"/>
        </w:rPr>
        <w:t>por parte del P</w:t>
      </w:r>
      <w:r w:rsidR="00ED5BF1" w:rsidRPr="00575DFB">
        <w:rPr>
          <w:rFonts w:ascii="Book Antiqua" w:hAnsi="Book Antiqua"/>
        </w:rPr>
        <w:t xml:space="preserve">rofesional </w:t>
      </w:r>
      <w:r w:rsidR="003F2C39" w:rsidRPr="00575DFB">
        <w:rPr>
          <w:rFonts w:ascii="Book Antiqua" w:hAnsi="Book Antiqua"/>
        </w:rPr>
        <w:t xml:space="preserve">de Planificación </w:t>
      </w:r>
      <w:r w:rsidR="00ED5BF1" w:rsidRPr="00DB3347">
        <w:rPr>
          <w:rFonts w:ascii="Book Antiqua" w:hAnsi="Book Antiqua"/>
        </w:rPr>
        <w:t>Christopher Zamora Solís</w:t>
      </w:r>
      <w:r w:rsidR="00ED5BF1" w:rsidRPr="008B5762">
        <w:rPr>
          <w:rFonts w:ascii="Book Antiqua" w:hAnsi="Book Antiqua"/>
        </w:rPr>
        <w:t xml:space="preserve">, se han realizado reuniones de seguimiento de los </w:t>
      </w:r>
      <w:r w:rsidR="00ED5BF1" w:rsidRPr="00575DFB">
        <w:rPr>
          <w:rFonts w:ascii="Book Antiqua" w:hAnsi="Book Antiqua"/>
        </w:rPr>
        <w:t xml:space="preserve">resultados de Indicadores de </w:t>
      </w:r>
      <w:r w:rsidR="003F2C39" w:rsidRPr="00575DFB">
        <w:rPr>
          <w:rFonts w:ascii="Book Antiqua" w:hAnsi="Book Antiqua"/>
        </w:rPr>
        <w:t>Gestión</w:t>
      </w:r>
      <w:r w:rsidR="000276AB" w:rsidRPr="00DB3347">
        <w:rPr>
          <w:rFonts w:ascii="Book Antiqua" w:hAnsi="Book Antiqua"/>
        </w:rPr>
        <w:t xml:space="preserve"> así como </w:t>
      </w:r>
      <w:r w:rsidR="00E92A53" w:rsidRPr="008B5762">
        <w:rPr>
          <w:rFonts w:ascii="Book Antiqua" w:hAnsi="Book Antiqua"/>
        </w:rPr>
        <w:t>planes de trabajo</w:t>
      </w:r>
      <w:r w:rsidR="00E92A53" w:rsidRPr="00575DFB">
        <w:rPr>
          <w:rFonts w:ascii="Book Antiqua" w:hAnsi="Book Antiqua"/>
        </w:rPr>
        <w:t xml:space="preserve"> para</w:t>
      </w:r>
      <w:r w:rsidR="00CB1AA9" w:rsidRPr="00DB3347">
        <w:rPr>
          <w:rFonts w:ascii="Book Antiqua" w:hAnsi="Book Antiqua"/>
        </w:rPr>
        <w:t xml:space="preserve"> Reducir el circulante de asuntos de materia Civil</w:t>
      </w:r>
      <w:r w:rsidR="000276AB" w:rsidRPr="00DB3347">
        <w:rPr>
          <w:rFonts w:ascii="Book Antiqua" w:hAnsi="Book Antiqua"/>
        </w:rPr>
        <w:t xml:space="preserve"> (</w:t>
      </w:r>
      <w:r w:rsidR="00CB1AA9" w:rsidRPr="00DB3347">
        <w:rPr>
          <w:rFonts w:ascii="Book Antiqua" w:hAnsi="Book Antiqua"/>
        </w:rPr>
        <w:t xml:space="preserve"> </w:t>
      </w:r>
      <w:r w:rsidR="00CB1AA9" w:rsidRPr="00DB3347">
        <w:rPr>
          <w:rFonts w:ascii="Book Antiqua" w:hAnsi="Book Antiqua"/>
          <w:i/>
        </w:rPr>
        <w:t xml:space="preserve">63-PLA-EV-PRE-2020, minuta </w:t>
      </w:r>
      <w:r w:rsidR="000276AB" w:rsidRPr="00DB3347">
        <w:rPr>
          <w:rFonts w:ascii="Book Antiqua" w:hAnsi="Book Antiqua"/>
          <w:i/>
        </w:rPr>
        <w:t>162TR2020 correspondiente al Seguimiento a febrero de 2020, 53-PLA-EV-MNTA-2020 minuta de reunión Análisis de indicadores de abril de 2020, minuta de reunión  693-PLA-EV-PRE-2020</w:t>
      </w:r>
      <w:r w:rsidR="00E92A53" w:rsidRPr="00DB3347">
        <w:rPr>
          <w:rFonts w:ascii="Book Antiqua" w:hAnsi="Book Antiqua"/>
          <w:i/>
        </w:rPr>
        <w:t xml:space="preserve"> </w:t>
      </w:r>
      <w:r w:rsidR="000276AB" w:rsidRPr="00DB3347">
        <w:rPr>
          <w:rFonts w:ascii="Book Antiqua" w:hAnsi="Book Antiqua"/>
          <w:i/>
        </w:rPr>
        <w:t xml:space="preserve">plan de trabajo para </w:t>
      </w:r>
      <w:r w:rsidR="00E92A53" w:rsidRPr="00DB3347">
        <w:rPr>
          <w:rFonts w:ascii="Book Antiqua" w:hAnsi="Book Antiqua"/>
          <w:i/>
        </w:rPr>
        <w:t>Reducir el pendiente de fallo</w:t>
      </w:r>
      <w:r w:rsidR="000276AB" w:rsidRPr="00DB3347">
        <w:rPr>
          <w:rFonts w:ascii="Book Antiqua" w:hAnsi="Book Antiqua"/>
        </w:rPr>
        <w:t>)</w:t>
      </w:r>
      <w:r w:rsidR="00AA1C48" w:rsidRPr="00DB3347">
        <w:rPr>
          <w:rFonts w:ascii="Book Antiqua" w:hAnsi="Book Antiqua"/>
        </w:rPr>
        <w:t xml:space="preserve">, </w:t>
      </w:r>
      <w:r w:rsidR="00CB1AA9" w:rsidRPr="00DB3347">
        <w:rPr>
          <w:rFonts w:ascii="Book Antiqua" w:hAnsi="Book Antiqua"/>
        </w:rPr>
        <w:t xml:space="preserve">los documentos </w:t>
      </w:r>
      <w:r w:rsidR="00AA1C48" w:rsidRPr="008B5762">
        <w:rPr>
          <w:rFonts w:ascii="Book Antiqua" w:hAnsi="Book Antiqua"/>
        </w:rPr>
        <w:t>adjunta</w:t>
      </w:r>
      <w:r w:rsidR="00CB1AA9" w:rsidRPr="00DB3347">
        <w:rPr>
          <w:rFonts w:ascii="Book Antiqua" w:hAnsi="Book Antiqua"/>
        </w:rPr>
        <w:t>n</w:t>
      </w:r>
      <w:r w:rsidR="003F2C39" w:rsidRPr="00DB3347">
        <w:rPr>
          <w:rFonts w:ascii="Book Antiqua" w:hAnsi="Book Antiqua"/>
        </w:rPr>
        <w:t xml:space="preserve"> en anexo </w:t>
      </w:r>
      <w:r w:rsidR="00FC0888" w:rsidRPr="00DB3347">
        <w:rPr>
          <w:rFonts w:ascii="Book Antiqua" w:hAnsi="Book Antiqua"/>
        </w:rPr>
        <w:t>2</w:t>
      </w:r>
      <w:r w:rsidR="003F2C39" w:rsidRPr="00DB3347">
        <w:rPr>
          <w:rFonts w:ascii="Book Antiqua" w:hAnsi="Book Antiqua"/>
        </w:rPr>
        <w:t xml:space="preserve">. </w:t>
      </w:r>
    </w:p>
    <w:p w14:paraId="074D754F" w14:textId="230FBD37" w:rsidR="004A6B77" w:rsidRPr="00DB3347" w:rsidRDefault="004A6B77" w:rsidP="00485A3C">
      <w:pPr>
        <w:widowControl w:val="0"/>
        <w:autoSpaceDE w:val="0"/>
        <w:autoSpaceDN w:val="0"/>
        <w:adjustRightInd w:val="0"/>
        <w:spacing w:after="0" w:line="276" w:lineRule="auto"/>
        <w:ind w:right="49"/>
        <w:jc w:val="both"/>
        <w:rPr>
          <w:rFonts w:ascii="Book Antiqua" w:hAnsi="Book Antiqua"/>
        </w:rPr>
      </w:pPr>
    </w:p>
    <w:p w14:paraId="2DDAB788" w14:textId="2152BFE8" w:rsidR="00096DCD" w:rsidRPr="00DB3347" w:rsidRDefault="00096DCD" w:rsidP="00485A3C">
      <w:pPr>
        <w:widowControl w:val="0"/>
        <w:autoSpaceDE w:val="0"/>
        <w:autoSpaceDN w:val="0"/>
        <w:adjustRightInd w:val="0"/>
        <w:spacing w:after="0" w:line="276" w:lineRule="auto"/>
        <w:ind w:right="49"/>
        <w:jc w:val="both"/>
        <w:rPr>
          <w:rFonts w:ascii="Book Antiqua" w:hAnsi="Book Antiqua"/>
        </w:rPr>
      </w:pPr>
      <w:r w:rsidRPr="00DB3347">
        <w:rPr>
          <w:rFonts w:ascii="Book Antiqua" w:hAnsi="Book Antiqua"/>
        </w:rPr>
        <w:t xml:space="preserve">Relacionado con el Tribunal de Apelaciones Civil y Trabajo de Cartago en anexo </w:t>
      </w:r>
      <w:r w:rsidR="008D6451" w:rsidRPr="00DB3347">
        <w:rPr>
          <w:rFonts w:ascii="Book Antiqua" w:hAnsi="Book Antiqua"/>
        </w:rPr>
        <w:t>3</w:t>
      </w:r>
      <w:r w:rsidRPr="00DB3347">
        <w:rPr>
          <w:rFonts w:ascii="Book Antiqua" w:hAnsi="Book Antiqua"/>
        </w:rPr>
        <w:t xml:space="preserve"> se adjunta el correo electrónico remitido por la señora María Teresa</w:t>
      </w:r>
      <w:r w:rsidR="000156F8" w:rsidRPr="00DB3347">
        <w:rPr>
          <w:rFonts w:ascii="Book Antiqua" w:hAnsi="Book Antiqua"/>
        </w:rPr>
        <w:t xml:space="preserve"> Gómez,</w:t>
      </w:r>
      <w:r w:rsidRPr="00DB3347">
        <w:rPr>
          <w:rFonts w:ascii="Book Antiqua" w:hAnsi="Book Antiqua"/>
        </w:rPr>
        <w:t xml:space="preserve"> Coordinadora Judicial en </w:t>
      </w:r>
      <w:r w:rsidR="000156F8" w:rsidRPr="00DB3347">
        <w:rPr>
          <w:rFonts w:ascii="Book Antiqua" w:hAnsi="Book Antiqua"/>
        </w:rPr>
        <w:t>el</w:t>
      </w:r>
      <w:r w:rsidRPr="00DB3347">
        <w:rPr>
          <w:rFonts w:ascii="Book Antiqua" w:hAnsi="Book Antiqua"/>
        </w:rPr>
        <w:t xml:space="preserve"> que se </w:t>
      </w:r>
      <w:r w:rsidR="000156F8" w:rsidRPr="00DB3347">
        <w:rPr>
          <w:rFonts w:ascii="Book Antiqua" w:hAnsi="Book Antiqua"/>
        </w:rPr>
        <w:t>remite</w:t>
      </w:r>
      <w:r w:rsidRPr="00DB3347">
        <w:rPr>
          <w:rFonts w:ascii="Book Antiqua" w:hAnsi="Book Antiqua"/>
        </w:rPr>
        <w:t xml:space="preserve"> la tejedora que se utiliza</w:t>
      </w:r>
      <w:r w:rsidR="000156F8" w:rsidRPr="00DB3347">
        <w:rPr>
          <w:rFonts w:ascii="Book Antiqua" w:hAnsi="Book Antiqua"/>
        </w:rPr>
        <w:t xml:space="preserve"> el despacho</w:t>
      </w:r>
      <w:r w:rsidRPr="00DB3347">
        <w:rPr>
          <w:rFonts w:ascii="Book Antiqua" w:hAnsi="Book Antiqua"/>
        </w:rPr>
        <w:t xml:space="preserve"> </w:t>
      </w:r>
      <w:r w:rsidR="000276AB" w:rsidRPr="00DB3347">
        <w:rPr>
          <w:rFonts w:ascii="Book Antiqua" w:hAnsi="Book Antiqua"/>
        </w:rPr>
        <w:t xml:space="preserve">para la distribución de asuntos </w:t>
      </w:r>
      <w:r w:rsidR="000156F8" w:rsidRPr="00DB3347">
        <w:rPr>
          <w:rFonts w:ascii="Book Antiqua" w:hAnsi="Book Antiqua"/>
        </w:rPr>
        <w:t>nuevos tanto para materia Civil como Laboral</w:t>
      </w:r>
      <w:r w:rsidR="00FC0888" w:rsidRPr="00DB3347">
        <w:rPr>
          <w:rFonts w:ascii="Book Antiqua" w:hAnsi="Book Antiqua"/>
        </w:rPr>
        <w:t>, no se omite indicar que el mismo se utiliza desde el 2017.</w:t>
      </w:r>
    </w:p>
    <w:p w14:paraId="17C8F6DA" w14:textId="46C63A49" w:rsidR="00CB1AA9" w:rsidRPr="00DB3347" w:rsidRDefault="00CB1AA9" w:rsidP="00485A3C">
      <w:pPr>
        <w:widowControl w:val="0"/>
        <w:autoSpaceDE w:val="0"/>
        <w:autoSpaceDN w:val="0"/>
        <w:adjustRightInd w:val="0"/>
        <w:spacing w:after="0" w:line="276" w:lineRule="auto"/>
        <w:ind w:right="49"/>
        <w:jc w:val="both"/>
        <w:rPr>
          <w:rFonts w:ascii="Book Antiqua" w:hAnsi="Book Antiqua"/>
        </w:rPr>
      </w:pPr>
      <w:r w:rsidRPr="00DB3347">
        <w:rPr>
          <w:rFonts w:ascii="Book Antiqua" w:hAnsi="Book Antiqua"/>
        </w:rPr>
        <w:t xml:space="preserve"> </w:t>
      </w:r>
    </w:p>
    <w:p w14:paraId="3DB6CAC0" w14:textId="6A8F5929" w:rsidR="00CB1AA9" w:rsidRPr="00DB3347" w:rsidRDefault="00CB1AA9" w:rsidP="00485A3C">
      <w:pPr>
        <w:widowControl w:val="0"/>
        <w:autoSpaceDE w:val="0"/>
        <w:autoSpaceDN w:val="0"/>
        <w:adjustRightInd w:val="0"/>
        <w:spacing w:after="0" w:line="276" w:lineRule="auto"/>
        <w:ind w:right="49"/>
        <w:jc w:val="both"/>
        <w:rPr>
          <w:rFonts w:ascii="Book Antiqua" w:hAnsi="Book Antiqua"/>
        </w:rPr>
      </w:pPr>
      <w:r w:rsidRPr="00DB3347">
        <w:rPr>
          <w:rFonts w:ascii="Book Antiqua" w:hAnsi="Book Antiqua"/>
        </w:rPr>
        <w:t>Como parte del Modelo de Sostenibilidad</w:t>
      </w:r>
      <w:r w:rsidR="000156F8" w:rsidRPr="00DB3347">
        <w:rPr>
          <w:rFonts w:ascii="Book Antiqua" w:hAnsi="Book Antiqua"/>
        </w:rPr>
        <w:t xml:space="preserve"> en el Circuito Judicial de Cartago se encuentra asignada </w:t>
      </w:r>
      <w:r w:rsidRPr="00DB3347">
        <w:rPr>
          <w:rFonts w:ascii="Book Antiqua" w:hAnsi="Book Antiqua"/>
        </w:rPr>
        <w:t>la Profesional de Planificación Abigail Gómez Abarca</w:t>
      </w:r>
      <w:r w:rsidR="000156F8" w:rsidRPr="00DB3347">
        <w:rPr>
          <w:rFonts w:ascii="Book Antiqua" w:hAnsi="Book Antiqua"/>
        </w:rPr>
        <w:t>, misma que</w:t>
      </w:r>
      <w:r w:rsidRPr="00DB3347">
        <w:rPr>
          <w:rFonts w:ascii="Book Antiqua" w:hAnsi="Book Antiqua"/>
        </w:rPr>
        <w:t xml:space="preserve"> realizó </w:t>
      </w:r>
      <w:r w:rsidRPr="008B5762">
        <w:rPr>
          <w:rFonts w:ascii="Book Antiqua" w:hAnsi="Book Antiqua"/>
        </w:rPr>
        <w:t>capacitación</w:t>
      </w:r>
      <w:r w:rsidRPr="00DB3347">
        <w:rPr>
          <w:rFonts w:ascii="Book Antiqua" w:hAnsi="Book Antiqua"/>
        </w:rPr>
        <w:t xml:space="preserve"> el 11 de julio del 2018</w:t>
      </w:r>
      <w:r w:rsidRPr="008B5762">
        <w:rPr>
          <w:rFonts w:ascii="Book Antiqua" w:hAnsi="Book Antiqua"/>
        </w:rPr>
        <w:t xml:space="preserve"> </w:t>
      </w:r>
      <w:r w:rsidRPr="00DB3347">
        <w:rPr>
          <w:rFonts w:ascii="Book Antiqua" w:hAnsi="Book Antiqua"/>
        </w:rPr>
        <w:t xml:space="preserve">sobre el llenado de cada uno de los Indicadores de </w:t>
      </w:r>
      <w:r w:rsidRPr="00A91CCC">
        <w:rPr>
          <w:rFonts w:ascii="Book Antiqua" w:hAnsi="Book Antiqua"/>
        </w:rPr>
        <w:t xml:space="preserve">Gestión de la </w:t>
      </w:r>
      <w:r w:rsidRPr="00DB3347">
        <w:rPr>
          <w:rFonts w:ascii="Book Antiqua" w:hAnsi="Book Antiqua"/>
        </w:rPr>
        <w:t xml:space="preserve">nueva matriz establecida, minuta de reunión 37-2018 se adjunta evidencia en anexo </w:t>
      </w:r>
      <w:r w:rsidR="008D6451" w:rsidRPr="00DB3347">
        <w:rPr>
          <w:rFonts w:ascii="Book Antiqua" w:hAnsi="Book Antiqua"/>
        </w:rPr>
        <w:t>4</w:t>
      </w:r>
      <w:r w:rsidR="000156F8" w:rsidRPr="00DB3347">
        <w:rPr>
          <w:rFonts w:ascii="Book Antiqua" w:hAnsi="Book Antiqua"/>
        </w:rPr>
        <w:t>, así como el seguimiento de los resultados obtenidos en los Indicadores de Gestión</w:t>
      </w:r>
      <w:r w:rsidRPr="00DB3347">
        <w:rPr>
          <w:rFonts w:ascii="Book Antiqua" w:hAnsi="Book Antiqua"/>
        </w:rPr>
        <w:t xml:space="preserve">. </w:t>
      </w:r>
    </w:p>
    <w:p w14:paraId="14D83447" w14:textId="5CD7D68E" w:rsidR="00367B1E" w:rsidRDefault="00367B1E">
      <w:pPr>
        <w:rPr>
          <w:rFonts w:ascii="Book Antiqua" w:hAnsi="Book Antiqua"/>
          <w:b/>
          <w:bCs/>
        </w:rPr>
      </w:pPr>
      <w:r>
        <w:rPr>
          <w:rFonts w:ascii="Book Antiqua" w:hAnsi="Book Antiqua"/>
          <w:b/>
          <w:bCs/>
        </w:rPr>
        <w:br w:type="page"/>
      </w:r>
    </w:p>
    <w:p w14:paraId="5F4EE26C" w14:textId="77777777" w:rsidR="00B979AE" w:rsidRDefault="00B979AE" w:rsidP="00367B1E">
      <w:pPr>
        <w:jc w:val="both"/>
        <w:rPr>
          <w:rFonts w:ascii="Book Antiqua" w:hAnsi="Book Antiqua"/>
          <w:b/>
          <w:bCs/>
        </w:rPr>
      </w:pPr>
    </w:p>
    <w:p w14:paraId="5FF4CCD0" w14:textId="1442FE7A" w:rsidR="00CE02AD" w:rsidRPr="008D12F6" w:rsidRDefault="001852A1" w:rsidP="009C259C">
      <w:pPr>
        <w:pStyle w:val="Ttulo3"/>
        <w:numPr>
          <w:ilvl w:val="1"/>
          <w:numId w:val="15"/>
        </w:numPr>
        <w:jc w:val="both"/>
        <w:rPr>
          <w:rFonts w:ascii="Book Antiqua" w:hAnsi="Book Antiqua"/>
          <w:b/>
          <w:bCs/>
        </w:rPr>
      </w:pPr>
      <w:r w:rsidRPr="008D12F6">
        <w:rPr>
          <w:rFonts w:ascii="Book Antiqua" w:hAnsi="Book Antiqua"/>
          <w:b/>
          <w:bCs/>
        </w:rPr>
        <w:t xml:space="preserve">Análisis para replicar la estructura organizativa del </w:t>
      </w:r>
      <w:r w:rsidR="00CE02AD" w:rsidRPr="008D12F6">
        <w:rPr>
          <w:rFonts w:ascii="Book Antiqua" w:hAnsi="Book Antiqua"/>
          <w:b/>
          <w:bCs/>
        </w:rPr>
        <w:t>Tribunal de Apelaciones Civil y Trabajo de la Zona Atlántica</w:t>
      </w:r>
    </w:p>
    <w:p w14:paraId="4D6234F5" w14:textId="1CD96AAF" w:rsidR="00CE02AD" w:rsidRDefault="00CE02AD" w:rsidP="00CE02AD">
      <w:pPr>
        <w:spacing w:line="276" w:lineRule="auto"/>
        <w:jc w:val="both"/>
        <w:rPr>
          <w:rFonts w:ascii="Book Antiqua" w:hAnsi="Book Antiqua"/>
        </w:rPr>
      </w:pPr>
    </w:p>
    <w:p w14:paraId="5BDE8D05" w14:textId="11187887" w:rsidR="00D67EBD" w:rsidRDefault="00A72A1B" w:rsidP="00CE02AD">
      <w:pPr>
        <w:spacing w:line="276" w:lineRule="auto"/>
        <w:jc w:val="both"/>
        <w:rPr>
          <w:rFonts w:ascii="Book Antiqua" w:hAnsi="Book Antiqua"/>
        </w:rPr>
      </w:pPr>
      <w:r>
        <w:rPr>
          <w:rFonts w:ascii="Book Antiqua" w:hAnsi="Book Antiqua"/>
        </w:rPr>
        <w:t>Con la finalidad de dar respuesta al a</w:t>
      </w:r>
      <w:r w:rsidR="00D67EBD" w:rsidRPr="00A81E9F">
        <w:rPr>
          <w:rFonts w:ascii="Book Antiqua" w:hAnsi="Book Antiqua"/>
        </w:rPr>
        <w:t xml:space="preserve">cuerdo tomado por el Consejo Superior del Poder Judicial, en la sesión </w:t>
      </w:r>
      <w:r w:rsidR="00D67EBD" w:rsidRPr="00A81E9F">
        <w:rPr>
          <w:rFonts w:ascii="Book Antiqua" w:hAnsi="Book Antiqua"/>
          <w:b/>
          <w:bCs/>
        </w:rPr>
        <w:t>N° 84</w:t>
      </w:r>
      <w:r w:rsidR="00D67EBD" w:rsidRPr="00D611CE">
        <w:rPr>
          <w:rFonts w:ascii="Book Antiqua" w:hAnsi="Book Antiqua"/>
          <w:b/>
          <w:bCs/>
        </w:rPr>
        <w:t>-18</w:t>
      </w:r>
      <w:r w:rsidR="00D67EBD" w:rsidRPr="00D611CE">
        <w:rPr>
          <w:rFonts w:ascii="Book Antiqua" w:hAnsi="Book Antiqua"/>
        </w:rPr>
        <w:t xml:space="preserve"> celebrada el</w:t>
      </w:r>
      <w:r w:rsidR="00D67EBD" w:rsidRPr="00D611CE">
        <w:rPr>
          <w:rFonts w:ascii="Book Antiqua" w:hAnsi="Book Antiqua"/>
          <w:b/>
          <w:bCs/>
        </w:rPr>
        <w:t xml:space="preserve"> 25 de setiembre del 2018</w:t>
      </w:r>
      <w:r w:rsidR="00D67EBD" w:rsidRPr="00D611CE">
        <w:rPr>
          <w:rFonts w:ascii="Book Antiqua" w:hAnsi="Book Antiqua"/>
        </w:rPr>
        <w:t>, artículo LXXIV</w:t>
      </w:r>
      <w:r w:rsidR="00D67EBD">
        <w:rPr>
          <w:rFonts w:ascii="Book Antiqua" w:hAnsi="Book Antiqua"/>
        </w:rPr>
        <w:t>,</w:t>
      </w:r>
      <w:r>
        <w:rPr>
          <w:rFonts w:ascii="Book Antiqua" w:hAnsi="Book Antiqua"/>
        </w:rPr>
        <w:t xml:space="preserve"> </w:t>
      </w:r>
      <w:r w:rsidR="00D67EBD">
        <w:rPr>
          <w:rFonts w:ascii="Book Antiqua" w:hAnsi="Book Antiqua"/>
        </w:rPr>
        <w:t xml:space="preserve">se recomendó a la Dirección de Planificación lo siguiente: </w:t>
      </w:r>
    </w:p>
    <w:p w14:paraId="24D3FDE6" w14:textId="4A5E90A2" w:rsidR="00D67EBD" w:rsidRDefault="00D67EBD" w:rsidP="00251CA8">
      <w:pPr>
        <w:spacing w:after="120" w:line="276" w:lineRule="auto"/>
        <w:ind w:left="567" w:right="567"/>
        <w:jc w:val="both"/>
        <w:rPr>
          <w:rFonts w:ascii="Book Antiqua" w:hAnsi="Book Antiqua"/>
        </w:rPr>
      </w:pPr>
      <w:r>
        <w:rPr>
          <w:rFonts w:ascii="Book Antiqua" w:hAnsi="Book Antiqua"/>
        </w:rPr>
        <w:t>“…</w:t>
      </w:r>
    </w:p>
    <w:p w14:paraId="7B855E39" w14:textId="70512518" w:rsidR="00D67EBD" w:rsidRPr="00251CA8" w:rsidRDefault="00D67EBD" w:rsidP="009C259C">
      <w:pPr>
        <w:pStyle w:val="NormalWeb"/>
        <w:widowControl w:val="0"/>
        <w:numPr>
          <w:ilvl w:val="1"/>
          <w:numId w:val="5"/>
        </w:numPr>
        <w:suppressAutoHyphens w:val="0"/>
        <w:spacing w:before="0" w:after="120"/>
        <w:ind w:left="567" w:right="567" w:firstLine="709"/>
        <w:jc w:val="both"/>
        <w:rPr>
          <w:rFonts w:ascii="Book Antiqua" w:hAnsi="Book Antiqua"/>
          <w:bCs/>
          <w:i/>
          <w:iCs/>
        </w:rPr>
      </w:pPr>
      <w:r w:rsidRPr="00D611CE">
        <w:rPr>
          <w:rFonts w:ascii="Book Antiqua" w:hAnsi="Book Antiqua"/>
          <w:bCs/>
          <w:i/>
          <w:iCs/>
          <w:sz w:val="22"/>
          <w:szCs w:val="22"/>
          <w:lang w:val="es-CR"/>
        </w:rPr>
        <w:t>Considerar en el análisis solicitado la estructura actual del Tribunal de Apelaciones Civil y Trabajo de la Zona Atlántica, sede Limón, para poder replicarla en otros Tribunales de Apelación regionalizados</w:t>
      </w:r>
      <w:r>
        <w:rPr>
          <w:rFonts w:ascii="Book Antiqua" w:hAnsi="Book Antiqua"/>
          <w:bCs/>
          <w:i/>
          <w:iCs/>
          <w:sz w:val="22"/>
          <w:szCs w:val="22"/>
          <w:lang w:val="es-CR"/>
        </w:rPr>
        <w:t>…”</w:t>
      </w:r>
      <w:r w:rsidR="00367B1E">
        <w:rPr>
          <w:rFonts w:ascii="Book Antiqua" w:hAnsi="Book Antiqua"/>
          <w:bCs/>
          <w:i/>
          <w:iCs/>
          <w:sz w:val="22"/>
          <w:szCs w:val="22"/>
          <w:lang w:val="es-CR"/>
        </w:rPr>
        <w:t>.</w:t>
      </w:r>
    </w:p>
    <w:p w14:paraId="7B547170" w14:textId="77777777" w:rsidR="00251CA8" w:rsidRPr="006A4232" w:rsidRDefault="00251CA8" w:rsidP="00064E14">
      <w:pPr>
        <w:pStyle w:val="NormalWeb"/>
        <w:widowControl w:val="0"/>
        <w:suppressAutoHyphens w:val="0"/>
        <w:spacing w:before="0" w:after="120"/>
        <w:ind w:left="1276" w:right="567"/>
        <w:jc w:val="both"/>
        <w:rPr>
          <w:rFonts w:ascii="Book Antiqua" w:hAnsi="Book Antiqua"/>
          <w:bCs/>
          <w:i/>
          <w:iCs/>
        </w:rPr>
      </w:pPr>
    </w:p>
    <w:p w14:paraId="4B967C56" w14:textId="086C4826" w:rsidR="00CE02AD" w:rsidRPr="006A4232" w:rsidRDefault="00CE02AD" w:rsidP="00CE02AD">
      <w:pPr>
        <w:spacing w:line="276" w:lineRule="auto"/>
        <w:jc w:val="both"/>
        <w:rPr>
          <w:rFonts w:ascii="Book Antiqua" w:hAnsi="Book Antiqua"/>
        </w:rPr>
      </w:pPr>
      <w:r w:rsidRPr="00085A00">
        <w:rPr>
          <w:rFonts w:ascii="Book Antiqua" w:hAnsi="Book Antiqua"/>
        </w:rPr>
        <w:t>La estructura</w:t>
      </w:r>
      <w:r w:rsidRPr="001852A1">
        <w:rPr>
          <w:rFonts w:ascii="Book Antiqua" w:hAnsi="Book Antiqua"/>
        </w:rPr>
        <w:t xml:space="preserve"> de trabajo del Tribunal de Apelaciones Civil y Trabajo de la Zona Atlántica, </w:t>
      </w:r>
      <w:r w:rsidRPr="006A4232">
        <w:rPr>
          <w:rFonts w:ascii="Book Antiqua" w:hAnsi="Book Antiqua"/>
        </w:rPr>
        <w:t xml:space="preserve">sede Limón, en el informe 1163-PLA-2017, relacionado con la propuesta de regionalización para la segunda instancia en materia Civil y Laboral y su competencia, se indica lo siguiente: </w:t>
      </w:r>
    </w:p>
    <w:p w14:paraId="672CC735" w14:textId="7408FE14" w:rsidR="00CE02AD" w:rsidRPr="006A4232" w:rsidRDefault="00CE02AD" w:rsidP="00251CA8">
      <w:pPr>
        <w:spacing w:line="276" w:lineRule="auto"/>
        <w:ind w:left="567" w:right="616"/>
        <w:jc w:val="both"/>
        <w:rPr>
          <w:rFonts w:ascii="Book Antiqua" w:hAnsi="Book Antiqua"/>
          <w:i/>
          <w:iCs/>
        </w:rPr>
      </w:pPr>
      <w:r w:rsidRPr="006A4232">
        <w:rPr>
          <w:rFonts w:ascii="Book Antiqua" w:hAnsi="Book Antiqua"/>
          <w:i/>
          <w:iCs/>
        </w:rPr>
        <w:t>“… en el caso de la Zona Atlántica (Limón y Pococí), la carga de trabajo asciende a 22 asuntos por plaza de Jueza o Juez, es decir requeriría incorporar una cuarta plaza, con lo que esa variable podría disminuir a 16, y lo ubica en condiciones similares a sus homólogos…”</w:t>
      </w:r>
      <w:r w:rsidR="00367B1E">
        <w:rPr>
          <w:rFonts w:ascii="Book Antiqua" w:hAnsi="Book Antiqua"/>
          <w:i/>
          <w:iCs/>
        </w:rPr>
        <w:t>.</w:t>
      </w:r>
    </w:p>
    <w:p w14:paraId="6F30D48A" w14:textId="77777777" w:rsidR="00367B1E" w:rsidRDefault="0081275B" w:rsidP="00367B1E">
      <w:pPr>
        <w:spacing w:after="0" w:line="240" w:lineRule="auto"/>
        <w:ind w:right="-40"/>
        <w:jc w:val="both"/>
        <w:rPr>
          <w:rFonts w:ascii="Book Antiqua" w:hAnsi="Book Antiqua"/>
        </w:rPr>
      </w:pPr>
      <w:r>
        <w:rPr>
          <w:rFonts w:ascii="Book Antiqua" w:hAnsi="Book Antiqua"/>
        </w:rPr>
        <w:t xml:space="preserve">Dicho lo anterior, se evidencia que el análisis realizado en el informe </w:t>
      </w:r>
      <w:r w:rsidRPr="006A4232">
        <w:rPr>
          <w:rFonts w:ascii="Book Antiqua" w:hAnsi="Book Antiqua"/>
        </w:rPr>
        <w:t>1163-PLA-201</w:t>
      </w:r>
      <w:r>
        <w:rPr>
          <w:rFonts w:ascii="Book Antiqua" w:hAnsi="Book Antiqua"/>
        </w:rPr>
        <w:t xml:space="preserve">7, se basó en criterios objetivos de </w:t>
      </w:r>
      <w:r w:rsidR="00817F2E">
        <w:rPr>
          <w:rFonts w:ascii="Book Antiqua" w:hAnsi="Book Antiqua"/>
        </w:rPr>
        <w:t>la entrada proyectada, decir bajo esos parámetros se establecieron la cantidad de personas juzgadoras</w:t>
      </w:r>
      <w:r w:rsidR="003655EA">
        <w:rPr>
          <w:rFonts w:ascii="Book Antiqua" w:hAnsi="Book Antiqua"/>
        </w:rPr>
        <w:t xml:space="preserve"> para cada uno de los Tribunales de Apelación de Civil y Trabajo.</w:t>
      </w:r>
    </w:p>
    <w:p w14:paraId="28EE78B5" w14:textId="407BF9F4" w:rsidR="005D4B47" w:rsidRDefault="003655EA" w:rsidP="00367B1E">
      <w:pPr>
        <w:spacing w:after="0" w:line="240" w:lineRule="auto"/>
        <w:ind w:right="-40"/>
        <w:jc w:val="both"/>
        <w:rPr>
          <w:rFonts w:ascii="Book Antiqua" w:hAnsi="Book Antiqua"/>
        </w:rPr>
      </w:pPr>
      <w:r>
        <w:rPr>
          <w:rFonts w:ascii="Book Antiqua" w:hAnsi="Book Antiqua"/>
        </w:rPr>
        <w:t xml:space="preserve"> </w:t>
      </w:r>
    </w:p>
    <w:p w14:paraId="1C4BE141" w14:textId="47DBA716" w:rsidR="005D4B47" w:rsidRDefault="005D4B47" w:rsidP="00367B1E">
      <w:pPr>
        <w:spacing w:after="0" w:line="240" w:lineRule="auto"/>
        <w:ind w:right="-40"/>
        <w:jc w:val="both"/>
        <w:rPr>
          <w:rFonts w:ascii="Book Antiqua" w:hAnsi="Book Antiqua"/>
        </w:rPr>
      </w:pPr>
      <w:r>
        <w:rPr>
          <w:rFonts w:ascii="Book Antiqua" w:hAnsi="Book Antiqua"/>
        </w:rPr>
        <w:t xml:space="preserve">El informe </w:t>
      </w:r>
      <w:r w:rsidRPr="00A81E9F">
        <w:rPr>
          <w:rFonts w:ascii="Book Antiqua" w:hAnsi="Book Antiqua"/>
          <w:bCs/>
          <w:i/>
          <w:iCs/>
        </w:rPr>
        <w:t>234-CACMFJ-JEF-2018</w:t>
      </w:r>
      <w:r>
        <w:rPr>
          <w:rFonts w:ascii="Book Antiqua" w:hAnsi="Book Antiqua"/>
          <w:bCs/>
          <w:i/>
          <w:iCs/>
        </w:rPr>
        <w:t xml:space="preserve">, </w:t>
      </w:r>
      <w:r w:rsidRPr="00064E14">
        <w:rPr>
          <w:rFonts w:ascii="Book Antiqua" w:hAnsi="Book Antiqua"/>
          <w:bCs/>
          <w:i/>
          <w:iCs/>
        </w:rPr>
        <w:t>no es claro en su recomendación respecto a la réplica de la estructura</w:t>
      </w:r>
      <w:r>
        <w:rPr>
          <w:rFonts w:ascii="Book Antiqua" w:hAnsi="Book Antiqua"/>
        </w:rPr>
        <w:t xml:space="preserve"> </w:t>
      </w:r>
      <w:r w:rsidR="00917B9A">
        <w:rPr>
          <w:rFonts w:ascii="Book Antiqua" w:hAnsi="Book Antiqua"/>
        </w:rPr>
        <w:t>solicitada, sin embargo, esta Dirección interpreta que es la dotación de personal para disminuir a una entrada de 1</w:t>
      </w:r>
      <w:r w:rsidR="001B77C3">
        <w:rPr>
          <w:rFonts w:ascii="Book Antiqua" w:hAnsi="Book Antiqua"/>
        </w:rPr>
        <w:t xml:space="preserve">6 por personas juzgadoras. </w:t>
      </w:r>
    </w:p>
    <w:p w14:paraId="77CE6F68" w14:textId="77777777" w:rsidR="00367B1E" w:rsidRDefault="00367B1E" w:rsidP="00367B1E">
      <w:pPr>
        <w:spacing w:after="0" w:line="240" w:lineRule="auto"/>
        <w:ind w:right="-40"/>
        <w:jc w:val="both"/>
        <w:rPr>
          <w:rFonts w:ascii="Book Antiqua" w:hAnsi="Book Antiqua"/>
        </w:rPr>
      </w:pPr>
    </w:p>
    <w:p w14:paraId="50A5C105" w14:textId="3F56963D" w:rsidR="00AE283E" w:rsidRDefault="00366078" w:rsidP="00367B1E">
      <w:pPr>
        <w:spacing w:after="0" w:line="240" w:lineRule="auto"/>
        <w:ind w:right="-40"/>
        <w:jc w:val="both"/>
        <w:rPr>
          <w:rFonts w:ascii="Book Antiqua" w:hAnsi="Book Antiqua"/>
        </w:rPr>
      </w:pPr>
      <w:r>
        <w:rPr>
          <w:rFonts w:ascii="Book Antiqua" w:hAnsi="Book Antiqua"/>
        </w:rPr>
        <w:t xml:space="preserve">Se reitera, </w:t>
      </w:r>
      <w:r w:rsidR="004114DF">
        <w:rPr>
          <w:rFonts w:ascii="Book Antiqua" w:hAnsi="Book Antiqua"/>
        </w:rPr>
        <w:t>que,</w:t>
      </w:r>
      <w:r w:rsidRPr="00442246">
        <w:rPr>
          <w:rFonts w:ascii="Book Antiqua" w:hAnsi="Book Antiqua"/>
        </w:rPr>
        <w:t xml:space="preserve"> </w:t>
      </w:r>
      <w:r>
        <w:rPr>
          <w:rFonts w:ascii="Book Antiqua" w:hAnsi="Book Antiqua"/>
        </w:rPr>
        <w:t>según d</w:t>
      </w:r>
      <w:r w:rsidRPr="00442246">
        <w:rPr>
          <w:rFonts w:ascii="Book Antiqua" w:hAnsi="Book Antiqua"/>
        </w:rPr>
        <w:t xml:space="preserve">isposición de Corte Plena de las sesiones 27-2017 de 21 de agosto de 2017, artículo XVI, 28-2017 de 28 de agosto de 2017, artículo XV y 29-2017 de 4 setiembre de 2017, artículo XVI, </w:t>
      </w:r>
      <w:r>
        <w:rPr>
          <w:rFonts w:ascii="Book Antiqua" w:hAnsi="Book Antiqua"/>
        </w:rPr>
        <w:t xml:space="preserve">en la que se aprobaron </w:t>
      </w:r>
      <w:r w:rsidRPr="00442246">
        <w:rPr>
          <w:rFonts w:ascii="Book Antiqua" w:hAnsi="Book Antiqua"/>
        </w:rPr>
        <w:t>las medidas de contención del gasto en el Poder Judicial (circular 136-2017) y directrices giradas a la Dirección de Planificación, de potenciar la reorganización, tendientes a la implementación de modelos eficientes</w:t>
      </w:r>
      <w:r>
        <w:rPr>
          <w:rFonts w:ascii="Book Antiqua" w:hAnsi="Book Antiqua"/>
        </w:rPr>
        <w:t>, en este momento no es viable la posibilidad de asignar recurso humano nuevo para los Tribunales de Apelación Civil y Trabajo del país</w:t>
      </w:r>
      <w:r w:rsidR="00DD3B81">
        <w:rPr>
          <w:rFonts w:ascii="Book Antiqua" w:hAnsi="Book Antiqua"/>
        </w:rPr>
        <w:t>.</w:t>
      </w:r>
    </w:p>
    <w:p w14:paraId="7E4A6B64" w14:textId="77777777" w:rsidR="00367B1E" w:rsidRDefault="00367B1E" w:rsidP="00367B1E">
      <w:pPr>
        <w:spacing w:after="0" w:line="240" w:lineRule="auto"/>
        <w:ind w:right="-40"/>
        <w:jc w:val="both"/>
        <w:rPr>
          <w:rFonts w:ascii="Book Antiqua" w:hAnsi="Book Antiqua"/>
        </w:rPr>
      </w:pPr>
    </w:p>
    <w:p w14:paraId="0A5F4078" w14:textId="4594F366" w:rsidR="009D3DAE" w:rsidRDefault="004114DF" w:rsidP="00367B1E">
      <w:pPr>
        <w:spacing w:after="0" w:line="240" w:lineRule="auto"/>
        <w:ind w:right="-40"/>
        <w:jc w:val="both"/>
        <w:rPr>
          <w:rFonts w:ascii="Book Antiqua" w:hAnsi="Book Antiqua"/>
        </w:rPr>
      </w:pPr>
      <w:r>
        <w:rPr>
          <w:rFonts w:ascii="Book Antiqua" w:hAnsi="Book Antiqua"/>
        </w:rPr>
        <w:t xml:space="preserve">Por último, se informa </w:t>
      </w:r>
      <w:r w:rsidR="009D3DAE">
        <w:rPr>
          <w:rFonts w:ascii="Book Antiqua" w:hAnsi="Book Antiqua"/>
        </w:rPr>
        <w:t>que,</w:t>
      </w:r>
      <w:r>
        <w:rPr>
          <w:rFonts w:ascii="Book Antiqua" w:hAnsi="Book Antiqua"/>
        </w:rPr>
        <w:t xml:space="preserve"> respecto </w:t>
      </w:r>
      <w:r w:rsidR="00272A7E">
        <w:rPr>
          <w:rFonts w:ascii="Book Antiqua" w:hAnsi="Book Antiqua"/>
        </w:rPr>
        <w:t>a la cuarta plaza de persona juzgadora de dicho Tribunal, esta Dirección</w:t>
      </w:r>
      <w:r w:rsidR="006F317C">
        <w:rPr>
          <w:rFonts w:ascii="Book Antiqua" w:hAnsi="Book Antiqua"/>
        </w:rPr>
        <w:t xml:space="preserve">, mediante </w:t>
      </w:r>
      <w:r w:rsidR="008D2F41">
        <w:rPr>
          <w:rFonts w:ascii="Book Antiqua" w:hAnsi="Book Antiqua"/>
        </w:rPr>
        <w:t>el informe definitivo</w:t>
      </w:r>
      <w:r w:rsidR="006F317C">
        <w:rPr>
          <w:rFonts w:ascii="Book Antiqua" w:hAnsi="Book Antiqua"/>
        </w:rPr>
        <w:t xml:space="preserve"> </w:t>
      </w:r>
      <w:r w:rsidR="008D2F41">
        <w:rPr>
          <w:rFonts w:ascii="Book Antiqua" w:hAnsi="Book Antiqua"/>
        </w:rPr>
        <w:t>472</w:t>
      </w:r>
      <w:r w:rsidR="006F285E" w:rsidRPr="009D3DAE">
        <w:rPr>
          <w:rFonts w:ascii="Book Antiqua" w:hAnsi="Book Antiqua"/>
        </w:rPr>
        <w:t>-PLA-MI-2021</w:t>
      </w:r>
      <w:r w:rsidR="009D3DAE" w:rsidRPr="009D3DAE">
        <w:rPr>
          <w:rFonts w:ascii="Book Antiqua" w:hAnsi="Book Antiqua"/>
        </w:rPr>
        <w:t xml:space="preserve"> relacionado con </w:t>
      </w:r>
      <w:r w:rsidR="006D2413" w:rsidRPr="00064E14">
        <w:rPr>
          <w:rFonts w:ascii="Book Antiqua" w:hAnsi="Book Antiqua"/>
          <w:i/>
          <w:iCs/>
        </w:rPr>
        <w:t>“</w:t>
      </w:r>
      <w:r w:rsidR="009D3DAE" w:rsidRPr="00064E14">
        <w:rPr>
          <w:rFonts w:ascii="Book Antiqua" w:hAnsi="Book Antiqua"/>
          <w:i/>
          <w:iCs/>
        </w:rPr>
        <w:t>los nombramientos de Jueces 5 en materia Laboral y Civil</w:t>
      </w:r>
      <w:r w:rsidR="006D2413" w:rsidRPr="00064E14">
        <w:rPr>
          <w:rFonts w:ascii="Book Antiqua" w:hAnsi="Book Antiqua"/>
          <w:i/>
          <w:iCs/>
        </w:rPr>
        <w:t>”</w:t>
      </w:r>
      <w:r w:rsidR="006D2413">
        <w:rPr>
          <w:rFonts w:ascii="Book Antiqua" w:hAnsi="Book Antiqua"/>
          <w:i/>
          <w:iCs/>
        </w:rPr>
        <w:t xml:space="preserve"> </w:t>
      </w:r>
      <w:r w:rsidR="006D2413" w:rsidRPr="00064E14">
        <w:rPr>
          <w:rFonts w:ascii="Book Antiqua" w:hAnsi="Book Antiqua"/>
        </w:rPr>
        <w:t>emitió recomendaciones sobre</w:t>
      </w:r>
      <w:r w:rsidR="006D2413">
        <w:rPr>
          <w:rFonts w:ascii="Book Antiqua" w:hAnsi="Book Antiqua"/>
        </w:rPr>
        <w:t xml:space="preserve"> dicha plaza</w:t>
      </w:r>
      <w:r w:rsidR="00DD3B81">
        <w:rPr>
          <w:rFonts w:ascii="Book Antiqua" w:hAnsi="Book Antiqua"/>
        </w:rPr>
        <w:t xml:space="preserve"> en donde recomienda dada la carga de trabajo actual del Tribunal de la Zona Atlántica, mantenerlo temporalmente solo con 3 recursos de persona juzgadora. </w:t>
      </w:r>
    </w:p>
    <w:p w14:paraId="06CB08A4" w14:textId="77777777" w:rsidR="00367B1E" w:rsidRDefault="00367B1E" w:rsidP="00367B1E">
      <w:pPr>
        <w:spacing w:after="0" w:line="240" w:lineRule="auto"/>
        <w:ind w:right="-40"/>
        <w:jc w:val="both"/>
        <w:rPr>
          <w:rFonts w:ascii="Book Antiqua" w:hAnsi="Book Antiqua"/>
        </w:rPr>
      </w:pPr>
    </w:p>
    <w:p w14:paraId="3EE4DBDB" w14:textId="65C918C5" w:rsidR="00DD3B81" w:rsidRDefault="00DD3B81" w:rsidP="00367B1E">
      <w:pPr>
        <w:spacing w:after="0" w:line="240" w:lineRule="auto"/>
        <w:ind w:right="-40"/>
        <w:jc w:val="both"/>
        <w:rPr>
          <w:rFonts w:ascii="Book Antiqua" w:hAnsi="Book Antiqua"/>
        </w:rPr>
      </w:pPr>
      <w:r>
        <w:rPr>
          <w:rFonts w:ascii="Book Antiqua" w:hAnsi="Book Antiqua"/>
        </w:rPr>
        <w:t xml:space="preserve">Adicionalmente es necesario indicar que para prestar colaboración a las oficinas en donde la carga de trabajo sobrepasa la capacidad operativa instalada, desde la creación de </w:t>
      </w:r>
      <w:r w:rsidR="003D23E3">
        <w:rPr>
          <w:rFonts w:ascii="Book Antiqua" w:hAnsi="Book Antiqua"/>
        </w:rPr>
        <w:t>e</w:t>
      </w:r>
      <w:r>
        <w:rPr>
          <w:rFonts w:ascii="Book Antiqua" w:hAnsi="Book Antiqua"/>
        </w:rPr>
        <w:t>stas oficinas se dispone en el CACMFJ de una sección de Juezas y Jueces 5 para descongestionamiento y atención de inhibitorias en ambas materias. Asimismo</w:t>
      </w:r>
      <w:r w:rsidR="00367B1E">
        <w:rPr>
          <w:rFonts w:ascii="Book Antiqua" w:hAnsi="Book Antiqua"/>
        </w:rPr>
        <w:t>,</w:t>
      </w:r>
      <w:r>
        <w:rPr>
          <w:rFonts w:ascii="Book Antiqua" w:hAnsi="Book Antiqua"/>
        </w:rPr>
        <w:t xml:space="preserve"> el Tribunal de Apelación de Trabajo del Segundo Circuito Judicial de San Jose, tiene competencia para fallar asuntos provenientes de todo el país, conforme a los planes de trabajo que diseñe la Jueza Gestora y el CACMFJ, según acuerdo de Corte Plena en sesión</w:t>
      </w:r>
      <w:r w:rsidR="006B0E19">
        <w:rPr>
          <w:rFonts w:ascii="Book Antiqua" w:hAnsi="Book Antiqua"/>
        </w:rPr>
        <w:t xml:space="preserve"> </w:t>
      </w:r>
      <w:r w:rsidR="006B0E19" w:rsidRPr="006B0E19">
        <w:rPr>
          <w:rFonts w:ascii="Book Antiqua" w:hAnsi="Book Antiqua"/>
        </w:rPr>
        <w:t>73-2020, celebrada el 14 de diciembre del 2020, artículo XII</w:t>
      </w:r>
      <w:r w:rsidR="006B0E19">
        <w:rPr>
          <w:rFonts w:ascii="Book Antiqua" w:hAnsi="Book Antiqua"/>
        </w:rPr>
        <w:t xml:space="preserve"> (circular 10-2021)</w:t>
      </w:r>
      <w:r w:rsidR="00367B1E">
        <w:rPr>
          <w:rFonts w:ascii="Book Antiqua" w:hAnsi="Book Antiqua"/>
        </w:rPr>
        <w:t>.</w:t>
      </w:r>
      <w:r>
        <w:rPr>
          <w:rFonts w:ascii="Book Antiqua" w:hAnsi="Book Antiqua"/>
        </w:rPr>
        <w:t xml:space="preserve"> </w:t>
      </w:r>
    </w:p>
    <w:p w14:paraId="33ED8CD1" w14:textId="77777777" w:rsidR="00367B1E" w:rsidRDefault="00367B1E" w:rsidP="00367B1E">
      <w:pPr>
        <w:spacing w:after="0" w:line="240" w:lineRule="auto"/>
        <w:ind w:right="-40"/>
        <w:jc w:val="both"/>
        <w:rPr>
          <w:rFonts w:ascii="Book Antiqua" w:hAnsi="Book Antiqua"/>
        </w:rPr>
      </w:pPr>
    </w:p>
    <w:p w14:paraId="0C564693" w14:textId="01A69086" w:rsidR="00DD3B81" w:rsidRDefault="00F10832" w:rsidP="00367B1E">
      <w:pPr>
        <w:spacing w:after="0" w:line="240" w:lineRule="auto"/>
        <w:ind w:right="-40"/>
        <w:jc w:val="both"/>
        <w:rPr>
          <w:rFonts w:ascii="Book Antiqua" w:hAnsi="Book Antiqua"/>
        </w:rPr>
      </w:pPr>
      <w:r>
        <w:rPr>
          <w:rFonts w:ascii="Book Antiqua" w:hAnsi="Book Antiqua"/>
        </w:rPr>
        <w:t>T</w:t>
      </w:r>
      <w:r w:rsidR="00DD3B81">
        <w:rPr>
          <w:rFonts w:ascii="Book Antiqua" w:hAnsi="Book Antiqua"/>
        </w:rPr>
        <w:t xml:space="preserve">ambién, mediante oficio </w:t>
      </w:r>
      <w:r w:rsidR="00FD4C9F">
        <w:rPr>
          <w:rFonts w:ascii="Book Antiqua" w:hAnsi="Book Antiqua"/>
        </w:rPr>
        <w:t>673-PLA</w:t>
      </w:r>
      <w:r w:rsidR="00DD3B81" w:rsidRPr="00DD3B81">
        <w:rPr>
          <w:rFonts w:ascii="Book Antiqua" w:hAnsi="Book Antiqua"/>
        </w:rPr>
        <w:t xml:space="preserve">-2021 </w:t>
      </w:r>
      <w:r w:rsidR="00DD3B81">
        <w:rPr>
          <w:rFonts w:ascii="Book Antiqua" w:hAnsi="Book Antiqua"/>
        </w:rPr>
        <w:t>(</w:t>
      </w:r>
      <w:r w:rsidR="00DD3B81" w:rsidRPr="00DD3B81">
        <w:rPr>
          <w:rFonts w:ascii="Book Antiqua" w:hAnsi="Book Antiqua"/>
        </w:rPr>
        <w:t>en consulta</w:t>
      </w:r>
      <w:r w:rsidR="00DD3B81">
        <w:rPr>
          <w:rFonts w:ascii="Book Antiqua" w:hAnsi="Book Antiqua"/>
        </w:rPr>
        <w:t xml:space="preserve">), dadas las bajas cargas de trabajo en los Tribunales de Apelación Civil y de Trabajo de la Zona Sur y Atlántica, </w:t>
      </w:r>
      <w:r>
        <w:rPr>
          <w:rFonts w:ascii="Book Antiqua" w:hAnsi="Book Antiqua"/>
        </w:rPr>
        <w:t xml:space="preserve">esta Dirección </w:t>
      </w:r>
      <w:r w:rsidR="00FD4C9F">
        <w:rPr>
          <w:rFonts w:ascii="Book Antiqua" w:hAnsi="Book Antiqua"/>
        </w:rPr>
        <w:t>indicó que se debía mantener el seguimiento, revisar el impacto del plan de trabajo que actualmente se ejecuta en la Zona Atlántica e incluso retomar el análisis de una</w:t>
      </w:r>
      <w:r w:rsidR="00FD4C9F" w:rsidRPr="00FD4C9F">
        <w:rPr>
          <w:rFonts w:ascii="Book Antiqua" w:hAnsi="Book Antiqua"/>
        </w:rPr>
        <w:t xml:space="preserve"> propuesta de ampliación de competencia de estos tribunales una vez se analice en detalle la composición de la cuota de las personas juzgadoras (recursos terminados por “mal admitido”). </w:t>
      </w:r>
      <w:r w:rsidR="00FD4C9F">
        <w:rPr>
          <w:rFonts w:ascii="Book Antiqua" w:hAnsi="Book Antiqua"/>
        </w:rPr>
        <w:t xml:space="preserve"> </w:t>
      </w:r>
    </w:p>
    <w:p w14:paraId="21FB2170" w14:textId="77777777" w:rsidR="00367B1E" w:rsidRDefault="00367B1E" w:rsidP="00367B1E">
      <w:pPr>
        <w:spacing w:after="0" w:line="240" w:lineRule="auto"/>
        <w:ind w:right="-40"/>
        <w:jc w:val="both"/>
        <w:rPr>
          <w:rFonts w:ascii="Book Antiqua" w:hAnsi="Book Antiqua"/>
        </w:rPr>
      </w:pPr>
    </w:p>
    <w:p w14:paraId="5BAA7E8A" w14:textId="3B40048B" w:rsidR="00DD3B81" w:rsidRPr="009D3DAE" w:rsidRDefault="00DD3B81" w:rsidP="00367B1E">
      <w:pPr>
        <w:spacing w:after="0" w:line="240" w:lineRule="auto"/>
        <w:ind w:right="-40"/>
        <w:jc w:val="both"/>
        <w:rPr>
          <w:rFonts w:ascii="Book Antiqua" w:hAnsi="Book Antiqua"/>
        </w:rPr>
      </w:pPr>
      <w:r>
        <w:rPr>
          <w:rFonts w:ascii="Book Antiqua" w:hAnsi="Book Antiqua"/>
        </w:rPr>
        <w:t xml:space="preserve">Es decir, la segunda instancia en materia Civil y de Trabajo cuenta con recursos para colaborar en todas aquellas oficinas que así lo requieran, cuando su entrada sobrepase su capacidad operativa; y presenten un buen rendimiento conforme al seguimiento que mantienen estos Tribunales desde su creación por parte del CACMFJ y las plazas destacadas en los diferentes circuitos judiciales como parte del Modelo de Sostenibilidad y Seguimiento de oficinas rediseñadas institucional. </w:t>
      </w:r>
    </w:p>
    <w:p w14:paraId="04789861" w14:textId="369FBEFA" w:rsidR="00085A00" w:rsidRDefault="00085A00" w:rsidP="00BD7DB8">
      <w:pPr>
        <w:spacing w:line="276" w:lineRule="auto"/>
        <w:ind w:right="-37"/>
        <w:jc w:val="both"/>
        <w:rPr>
          <w:rFonts w:ascii="Book Antiqua" w:hAnsi="Book Antiqua"/>
        </w:rPr>
      </w:pPr>
    </w:p>
    <w:p w14:paraId="05731767" w14:textId="6A1F43DC" w:rsidR="00970842" w:rsidRPr="003D23E3" w:rsidRDefault="00970842" w:rsidP="009C259C">
      <w:pPr>
        <w:pStyle w:val="Ttulo3"/>
        <w:numPr>
          <w:ilvl w:val="1"/>
          <w:numId w:val="15"/>
        </w:numPr>
        <w:jc w:val="both"/>
        <w:rPr>
          <w:rFonts w:ascii="Book Antiqua" w:hAnsi="Book Antiqua"/>
          <w:b/>
          <w:bCs/>
          <w:sz w:val="22"/>
          <w:szCs w:val="22"/>
        </w:rPr>
      </w:pPr>
      <w:r w:rsidRPr="003D23E3">
        <w:rPr>
          <w:rFonts w:ascii="Book Antiqua" w:hAnsi="Book Antiqua"/>
          <w:b/>
          <w:bCs/>
          <w:sz w:val="22"/>
          <w:szCs w:val="22"/>
        </w:rPr>
        <w:t xml:space="preserve">Inclusión de Indicador de Circulante inicial en la Matriz de Indicadores de Gestión </w:t>
      </w:r>
    </w:p>
    <w:p w14:paraId="296E3EFC" w14:textId="4C7B4ADA" w:rsidR="00970842" w:rsidRPr="00B9219E" w:rsidRDefault="00970842" w:rsidP="00BD7DB8">
      <w:pPr>
        <w:spacing w:line="276" w:lineRule="auto"/>
        <w:ind w:right="-37"/>
        <w:jc w:val="both"/>
        <w:rPr>
          <w:rFonts w:ascii="Book Antiqua" w:hAnsi="Book Antiqua"/>
        </w:rPr>
      </w:pPr>
    </w:p>
    <w:p w14:paraId="23308C87" w14:textId="569E5049" w:rsidR="00970842" w:rsidRPr="00E06C01" w:rsidRDefault="00970842" w:rsidP="00970842">
      <w:pPr>
        <w:spacing w:line="276" w:lineRule="auto"/>
        <w:jc w:val="both"/>
        <w:rPr>
          <w:rFonts w:ascii="Book Antiqua" w:hAnsi="Book Antiqua"/>
        </w:rPr>
      </w:pPr>
      <w:r w:rsidRPr="00167281">
        <w:rPr>
          <w:rFonts w:ascii="Book Antiqua" w:hAnsi="Book Antiqua"/>
        </w:rPr>
        <w:t>Con la finalidad de dar respuesta al a</w:t>
      </w:r>
      <w:r w:rsidRPr="00E06C01">
        <w:rPr>
          <w:rFonts w:ascii="Book Antiqua" w:hAnsi="Book Antiqua"/>
        </w:rPr>
        <w:t xml:space="preserve">cuerdo tomado por el </w:t>
      </w:r>
      <w:r w:rsidR="00D93BFF" w:rsidRPr="00E06C01">
        <w:rPr>
          <w:rFonts w:ascii="Book Antiqua" w:hAnsi="Book Antiqua"/>
        </w:rPr>
        <w:t xml:space="preserve">Consejo Superior del Poder Judicial, en la </w:t>
      </w:r>
      <w:r w:rsidR="00D93BFF" w:rsidRPr="0032358C">
        <w:rPr>
          <w:rFonts w:ascii="Book Antiqua" w:eastAsia="Times New Roman" w:hAnsi="Book Antiqua" w:cs="Book Antiqua"/>
          <w:snapToGrid w:val="0"/>
          <w:lang w:eastAsia="es-ES"/>
        </w:rPr>
        <w:t xml:space="preserve">sesión </w:t>
      </w:r>
      <w:r w:rsidR="00D93BFF" w:rsidRPr="003D23E3">
        <w:rPr>
          <w:rFonts w:ascii="Book Antiqua" w:eastAsia="Times New Roman" w:hAnsi="Book Antiqua" w:cs="Book Antiqua"/>
          <w:b/>
          <w:bCs/>
          <w:snapToGrid w:val="0"/>
          <w:lang w:eastAsia="es-ES"/>
        </w:rPr>
        <w:t>N°73-19</w:t>
      </w:r>
      <w:r w:rsidR="00D93BFF" w:rsidRPr="00B9219E">
        <w:rPr>
          <w:rFonts w:ascii="Book Antiqua" w:eastAsia="Times New Roman" w:hAnsi="Book Antiqua" w:cs="Book Antiqua"/>
          <w:snapToGrid w:val="0"/>
          <w:lang w:eastAsia="es-ES"/>
        </w:rPr>
        <w:t xml:space="preserve"> </w:t>
      </w:r>
      <w:r w:rsidR="00D93BFF" w:rsidRPr="00B9219E">
        <w:rPr>
          <w:rFonts w:ascii="Book Antiqua" w:hAnsi="Book Antiqua"/>
        </w:rPr>
        <w:t>celebrada el 20 de agosto del 2019, artículo XL</w:t>
      </w:r>
      <w:r w:rsidRPr="00B9219E">
        <w:rPr>
          <w:rFonts w:ascii="Book Antiqua" w:hAnsi="Book Antiqua"/>
        </w:rPr>
        <w:t>,</w:t>
      </w:r>
      <w:r w:rsidRPr="00167281">
        <w:rPr>
          <w:rFonts w:ascii="Book Antiqua" w:hAnsi="Book Antiqua"/>
        </w:rPr>
        <w:t xml:space="preserve"> </w:t>
      </w:r>
      <w:r w:rsidRPr="00E06C01">
        <w:rPr>
          <w:rFonts w:ascii="Book Antiqua" w:hAnsi="Book Antiqua"/>
        </w:rPr>
        <w:t xml:space="preserve">se recomendó a la Dirección de Planificación lo siguiente: </w:t>
      </w:r>
    </w:p>
    <w:p w14:paraId="30F377AB" w14:textId="3A3E9077" w:rsidR="00970842" w:rsidRPr="00B9219E" w:rsidRDefault="00970842" w:rsidP="003D23E3">
      <w:pPr>
        <w:spacing w:after="120" w:line="276" w:lineRule="auto"/>
        <w:ind w:left="567" w:right="567"/>
        <w:jc w:val="both"/>
        <w:rPr>
          <w:rFonts w:ascii="Book Antiqua" w:hAnsi="Book Antiqua"/>
        </w:rPr>
      </w:pPr>
      <w:r w:rsidRPr="0032358C">
        <w:rPr>
          <w:rFonts w:ascii="Book Antiqua" w:hAnsi="Book Antiqua"/>
        </w:rPr>
        <w:t>“…</w:t>
      </w:r>
      <w:r w:rsidR="00CB3FB1" w:rsidRPr="00F86004">
        <w:rPr>
          <w:rFonts w:ascii="Book Antiqua" w:eastAsia="Times New Roman" w:hAnsi="Book Antiqua" w:cs="Book Antiqua"/>
          <w:i/>
          <w:iCs/>
          <w:snapToGrid w:val="0"/>
          <w:lang w:eastAsia="es-ES"/>
        </w:rPr>
        <w:t> c.5) Incluir en la matriz de indicadores de los Tribunales especializados en Materia Civil y Materia Laboral, el indicador informativo del circulante, como “circulante al iniciar” y “</w:t>
      </w:r>
      <w:r w:rsidR="00CB3FB1" w:rsidRPr="00570C55">
        <w:rPr>
          <w:rFonts w:ascii="Book Antiqua" w:eastAsia="Times New Roman" w:hAnsi="Book Antiqua" w:cs="Book Antiqua"/>
          <w:i/>
          <w:iCs/>
          <w:snapToGrid w:val="0"/>
          <w:lang w:eastAsia="es-ES"/>
        </w:rPr>
        <w:t xml:space="preserve">circulante al finalizar” como si fue incorporado en los Tribunales </w:t>
      </w:r>
      <w:r w:rsidR="00E03AA6" w:rsidRPr="00570C55">
        <w:rPr>
          <w:rFonts w:ascii="Book Antiqua" w:eastAsia="Times New Roman" w:hAnsi="Book Antiqua" w:cs="Book Antiqua"/>
          <w:i/>
          <w:iCs/>
          <w:snapToGrid w:val="0"/>
          <w:lang w:eastAsia="es-ES"/>
        </w:rPr>
        <w:t>mixtos…</w:t>
      </w:r>
      <w:r w:rsidR="00CB3FB1" w:rsidRPr="00570C55">
        <w:rPr>
          <w:rFonts w:ascii="Book Antiqua" w:eastAsia="Times New Roman" w:hAnsi="Book Antiqua" w:cs="Book Antiqua"/>
          <w:i/>
          <w:iCs/>
          <w:snapToGrid w:val="0"/>
          <w:lang w:eastAsia="es-ES"/>
        </w:rPr>
        <w:t>”</w:t>
      </w:r>
      <w:r w:rsidR="00367B1E" w:rsidRPr="00570C55">
        <w:rPr>
          <w:rFonts w:ascii="Book Antiqua" w:eastAsia="Times New Roman" w:hAnsi="Book Antiqua" w:cs="Book Antiqua"/>
          <w:i/>
          <w:iCs/>
          <w:snapToGrid w:val="0"/>
          <w:lang w:eastAsia="es-ES"/>
        </w:rPr>
        <w:t>.</w:t>
      </w:r>
      <w:r w:rsidR="00CB3FB1" w:rsidRPr="00624AAF">
        <w:rPr>
          <w:rFonts w:ascii="Book Antiqua" w:eastAsia="Times New Roman" w:hAnsi="Book Antiqua" w:cs="Book Antiqua"/>
          <w:i/>
          <w:iCs/>
          <w:snapToGrid w:val="0"/>
          <w:lang w:eastAsia="es-ES"/>
        </w:rPr>
        <w:t> </w:t>
      </w:r>
    </w:p>
    <w:p w14:paraId="25C8EBAB" w14:textId="4597C8FD" w:rsidR="00970842" w:rsidRPr="00B9219E" w:rsidRDefault="00970842" w:rsidP="00BD7DB8">
      <w:pPr>
        <w:spacing w:line="276" w:lineRule="auto"/>
        <w:ind w:right="-37"/>
        <w:jc w:val="both"/>
        <w:rPr>
          <w:rFonts w:ascii="Book Antiqua" w:hAnsi="Book Antiqua"/>
        </w:rPr>
      </w:pPr>
    </w:p>
    <w:p w14:paraId="6B067184" w14:textId="43F8A258" w:rsidR="00CB3FB1" w:rsidRDefault="009F27B1" w:rsidP="00BD7DB8">
      <w:pPr>
        <w:spacing w:line="276" w:lineRule="auto"/>
        <w:ind w:right="-37"/>
        <w:jc w:val="both"/>
        <w:rPr>
          <w:rFonts w:ascii="Book Antiqua" w:hAnsi="Book Antiqua"/>
          <w:color w:val="000000" w:themeColor="text1"/>
          <w:lang w:eastAsia="es-CR"/>
        </w:rPr>
      </w:pPr>
      <w:r w:rsidRPr="003D23E3">
        <w:rPr>
          <w:rFonts w:ascii="Book Antiqua" w:hAnsi="Book Antiqua"/>
          <w:color w:val="000000" w:themeColor="text1"/>
          <w:lang w:eastAsia="es-CR"/>
        </w:rPr>
        <w:t>Por parte de la Dirección de Planificación se informa que en la Matriz de Indicadores</w:t>
      </w:r>
      <w:r w:rsidR="00B72963">
        <w:rPr>
          <w:rFonts w:ascii="Book Antiqua" w:hAnsi="Book Antiqua"/>
          <w:color w:val="000000" w:themeColor="text1"/>
          <w:lang w:eastAsia="es-CR"/>
        </w:rPr>
        <w:t xml:space="preserve"> de Gestión </w:t>
      </w:r>
      <w:r w:rsidRPr="003D23E3">
        <w:rPr>
          <w:rFonts w:ascii="Book Antiqua" w:hAnsi="Book Antiqua"/>
          <w:color w:val="000000" w:themeColor="text1"/>
          <w:lang w:eastAsia="es-CR"/>
        </w:rPr>
        <w:t xml:space="preserve"> se incluye el detalle del Circulante Final, no se considera necesaria la inclusión de</w:t>
      </w:r>
      <w:r w:rsidR="00A24DD0" w:rsidRPr="003D23E3">
        <w:rPr>
          <w:rFonts w:ascii="Book Antiqua" w:hAnsi="Book Antiqua"/>
          <w:color w:val="000000" w:themeColor="text1"/>
          <w:lang w:eastAsia="es-CR"/>
        </w:rPr>
        <w:t>l indicador</w:t>
      </w:r>
      <w:r w:rsidRPr="003D23E3">
        <w:rPr>
          <w:rFonts w:ascii="Book Antiqua" w:hAnsi="Book Antiqua"/>
          <w:color w:val="000000" w:themeColor="text1"/>
          <w:lang w:eastAsia="es-CR"/>
        </w:rPr>
        <w:t xml:space="preserve"> </w:t>
      </w:r>
      <w:r w:rsidR="00570C55">
        <w:rPr>
          <w:rFonts w:ascii="Book Antiqua" w:hAnsi="Book Antiqua"/>
          <w:color w:val="000000" w:themeColor="text1"/>
          <w:lang w:eastAsia="es-CR"/>
        </w:rPr>
        <w:t>“</w:t>
      </w:r>
      <w:r w:rsidR="00570C55" w:rsidRPr="002C7A90">
        <w:rPr>
          <w:rFonts w:ascii="Book Antiqua" w:hAnsi="Book Antiqua"/>
          <w:i/>
          <w:iCs/>
          <w:color w:val="000000" w:themeColor="text1"/>
          <w:lang w:eastAsia="es-CR"/>
        </w:rPr>
        <w:t>circulante inicial”</w:t>
      </w:r>
      <w:r w:rsidR="00570C55">
        <w:rPr>
          <w:rFonts w:ascii="Book Antiqua" w:hAnsi="Book Antiqua"/>
          <w:color w:val="000000" w:themeColor="text1"/>
          <w:lang w:eastAsia="es-CR"/>
        </w:rPr>
        <w:t xml:space="preserve"> en las matrices de indicadores </w:t>
      </w:r>
      <w:r w:rsidR="00491920" w:rsidRPr="003D23E3">
        <w:rPr>
          <w:rFonts w:ascii="Book Antiqua" w:hAnsi="Book Antiqua"/>
          <w:color w:val="000000" w:themeColor="text1"/>
          <w:lang w:eastAsia="es-CR"/>
        </w:rPr>
        <w:t>debido a</w:t>
      </w:r>
      <w:r w:rsidRPr="003D23E3">
        <w:rPr>
          <w:rFonts w:ascii="Book Antiqua" w:hAnsi="Book Antiqua"/>
          <w:color w:val="000000" w:themeColor="text1"/>
          <w:lang w:eastAsia="es-CR"/>
        </w:rPr>
        <w:t xml:space="preserve"> que, al tener el histórico mensual del circulante final de un mes</w:t>
      </w:r>
      <w:r w:rsidR="00A24DD0" w:rsidRPr="003D23E3">
        <w:rPr>
          <w:rFonts w:ascii="Book Antiqua" w:hAnsi="Book Antiqua"/>
          <w:color w:val="000000" w:themeColor="text1"/>
          <w:lang w:eastAsia="es-CR"/>
        </w:rPr>
        <w:t>, el mismo</w:t>
      </w:r>
      <w:r w:rsidRPr="003D23E3">
        <w:rPr>
          <w:rFonts w:ascii="Book Antiqua" w:hAnsi="Book Antiqua"/>
          <w:color w:val="000000" w:themeColor="text1"/>
          <w:lang w:eastAsia="es-CR"/>
        </w:rPr>
        <w:t xml:space="preserve"> corresponde al circulante inicial del mes siguiente, sin embargo, en caso de requerir la información </w:t>
      </w:r>
      <w:r w:rsidR="00A24DD0" w:rsidRPr="003D23E3">
        <w:rPr>
          <w:rFonts w:ascii="Book Antiqua" w:hAnsi="Book Antiqua"/>
          <w:color w:val="000000" w:themeColor="text1"/>
          <w:lang w:eastAsia="es-CR"/>
        </w:rPr>
        <w:t xml:space="preserve">la misma </w:t>
      </w:r>
      <w:r w:rsidRPr="003D23E3">
        <w:rPr>
          <w:rFonts w:ascii="Book Antiqua" w:hAnsi="Book Antiqua"/>
          <w:color w:val="000000" w:themeColor="text1"/>
          <w:lang w:eastAsia="es-CR"/>
        </w:rPr>
        <w:t>se puede extraer del Sistema de SIGMA</w:t>
      </w:r>
      <w:r w:rsidR="002B3DAC">
        <w:rPr>
          <w:rFonts w:ascii="Book Antiqua" w:hAnsi="Book Antiqua"/>
          <w:color w:val="000000" w:themeColor="text1"/>
          <w:lang w:eastAsia="es-CR"/>
        </w:rPr>
        <w:t>, por lo cual se considera que agregar esa variable no tendía un valor agregado porque hoy en día se puede visualizar observando la cantidad con la que cierra cada periodo.</w:t>
      </w:r>
    </w:p>
    <w:p w14:paraId="603654D8" w14:textId="77777777" w:rsidR="00367B1E" w:rsidRPr="00B9219E" w:rsidRDefault="00367B1E" w:rsidP="00BD7DB8">
      <w:pPr>
        <w:spacing w:line="276" w:lineRule="auto"/>
        <w:ind w:right="-37"/>
        <w:jc w:val="both"/>
        <w:rPr>
          <w:rFonts w:ascii="Book Antiqua" w:hAnsi="Book Antiqua"/>
        </w:rPr>
      </w:pPr>
    </w:p>
    <w:p w14:paraId="62C9CE32" w14:textId="2C525F27" w:rsidR="00B9219E" w:rsidRPr="00E1377C" w:rsidRDefault="00E1377C" w:rsidP="009C259C">
      <w:pPr>
        <w:pStyle w:val="Ttulo3"/>
        <w:numPr>
          <w:ilvl w:val="1"/>
          <w:numId w:val="28"/>
        </w:numPr>
        <w:jc w:val="both"/>
        <w:rPr>
          <w:rFonts w:ascii="Book Antiqua" w:hAnsi="Book Antiqua"/>
          <w:b/>
          <w:bCs/>
        </w:rPr>
      </w:pPr>
      <w:r>
        <w:rPr>
          <w:rFonts w:ascii="Book Antiqua" w:hAnsi="Book Antiqua"/>
          <w:b/>
          <w:bCs/>
        </w:rPr>
        <w:t xml:space="preserve">. </w:t>
      </w:r>
      <w:r w:rsidR="00815163" w:rsidRPr="00E1377C">
        <w:rPr>
          <w:rFonts w:ascii="Book Antiqua" w:hAnsi="Book Antiqua"/>
          <w:b/>
          <w:bCs/>
        </w:rPr>
        <w:t>N</w:t>
      </w:r>
      <w:r w:rsidR="00815163" w:rsidRPr="00E1377C">
        <w:rPr>
          <w:rFonts w:ascii="Book Antiqua" w:hAnsi="Book Antiqua"/>
          <w:b/>
          <w:bCs/>
          <w:lang w:val="es-ES"/>
        </w:rPr>
        <w:t>omenclaturas de los motivos de término para el cierre estadístico de los expedientes de la Jurisdicción Laboral</w:t>
      </w:r>
    </w:p>
    <w:p w14:paraId="029ACFF7" w14:textId="350F5DC0" w:rsidR="00970842" w:rsidRDefault="00970842" w:rsidP="00BD7DB8">
      <w:pPr>
        <w:spacing w:line="276" w:lineRule="auto"/>
        <w:ind w:right="-37"/>
        <w:jc w:val="both"/>
        <w:rPr>
          <w:rFonts w:ascii="Book Antiqua" w:hAnsi="Book Antiqua"/>
        </w:rPr>
      </w:pPr>
    </w:p>
    <w:p w14:paraId="298C5928" w14:textId="1891A748" w:rsidR="00B9219E" w:rsidRPr="004E085F" w:rsidRDefault="00B9219E" w:rsidP="00BD7DB8">
      <w:pPr>
        <w:spacing w:line="276" w:lineRule="auto"/>
        <w:ind w:right="-37"/>
        <w:jc w:val="both"/>
        <w:rPr>
          <w:rFonts w:ascii="Book Antiqua" w:hAnsi="Book Antiqua"/>
        </w:rPr>
      </w:pPr>
      <w:r w:rsidRPr="000F3DF2">
        <w:rPr>
          <w:rFonts w:ascii="Book Antiqua" w:hAnsi="Book Antiqua"/>
        </w:rPr>
        <w:t xml:space="preserve">Acuerdo tomado por el Consejo Superior del Poder Judicial, en la sesión </w:t>
      </w:r>
      <w:r w:rsidRPr="003742C7">
        <w:rPr>
          <w:rFonts w:ascii="Book Antiqua" w:hAnsi="Book Antiqua"/>
        </w:rPr>
        <w:t xml:space="preserve">N° 56-2020 </w:t>
      </w:r>
      <w:r w:rsidRPr="000F3DF2">
        <w:rPr>
          <w:rFonts w:ascii="Book Antiqua" w:hAnsi="Book Antiqua"/>
        </w:rPr>
        <w:t>celebrada el</w:t>
      </w:r>
      <w:r w:rsidRPr="003742C7">
        <w:rPr>
          <w:rFonts w:ascii="Book Antiqua" w:hAnsi="Book Antiqua"/>
        </w:rPr>
        <w:t xml:space="preserve"> 09 de junio del 2020</w:t>
      </w:r>
      <w:r w:rsidRPr="000F3DF2">
        <w:rPr>
          <w:rFonts w:ascii="Book Antiqua" w:hAnsi="Book Antiqua"/>
        </w:rPr>
        <w:t xml:space="preserve">, artículo </w:t>
      </w:r>
      <w:r w:rsidRPr="003742C7">
        <w:rPr>
          <w:rFonts w:ascii="Book Antiqua" w:hAnsi="Book Antiqua"/>
        </w:rPr>
        <w:t>L</w:t>
      </w:r>
      <w:r w:rsidRPr="00C4181D">
        <w:rPr>
          <w:rFonts w:ascii="Book Antiqua" w:hAnsi="Book Antiqua"/>
        </w:rPr>
        <w:t>XI</w:t>
      </w:r>
      <w:r w:rsidRPr="003742C7">
        <w:rPr>
          <w:rFonts w:ascii="Book Antiqua" w:hAnsi="Book Antiqua"/>
        </w:rPr>
        <w:t>II</w:t>
      </w:r>
      <w:r w:rsidRPr="0036061B">
        <w:rPr>
          <w:rFonts w:ascii="Book Antiqua" w:hAnsi="Book Antiqua"/>
        </w:rPr>
        <w:t xml:space="preserve">, se recomendó a la Dirección de Planificación </w:t>
      </w:r>
      <w:r w:rsidRPr="004E085F">
        <w:rPr>
          <w:rFonts w:ascii="Book Antiqua" w:hAnsi="Book Antiqua"/>
        </w:rPr>
        <w:t>lo siguiente</w:t>
      </w:r>
      <w:r w:rsidR="00167281" w:rsidRPr="004E085F">
        <w:rPr>
          <w:rFonts w:ascii="Book Antiqua" w:hAnsi="Book Antiqua"/>
        </w:rPr>
        <w:t xml:space="preserve">: </w:t>
      </w:r>
    </w:p>
    <w:p w14:paraId="7B82C0B2" w14:textId="77777777" w:rsidR="00167281" w:rsidRPr="00BF7847" w:rsidRDefault="00167281" w:rsidP="003D23E3">
      <w:pPr>
        <w:shd w:val="clear" w:color="auto" w:fill="FFFFFF"/>
        <w:ind w:left="456" w:right="616" w:hanging="30"/>
        <w:jc w:val="both"/>
        <w:rPr>
          <w:rFonts w:ascii="Book Antiqua" w:hAnsi="Book Antiqua"/>
          <w:i/>
          <w:iCs/>
          <w:lang w:val="es-ES"/>
        </w:rPr>
      </w:pPr>
      <w:r w:rsidRPr="00BF7847">
        <w:rPr>
          <w:rFonts w:ascii="Wingdings" w:eastAsia="Wingdings" w:hAnsi="Wingdings" w:cs="Wingdings"/>
          <w:i/>
          <w:lang w:val="es-ES"/>
        </w:rPr>
        <w:sym w:font="Wingdings" w:char="F0FC"/>
      </w:r>
      <w:r w:rsidRPr="00BF7847">
        <w:rPr>
          <w:rFonts w:ascii="Book Antiqua" w:hAnsi="Book Antiqua"/>
          <w:i/>
          <w:iCs/>
          <w:lang w:val="es-ES"/>
        </w:rPr>
        <w:t> </w:t>
      </w:r>
      <w:r w:rsidRPr="00BF7847">
        <w:rPr>
          <w:rFonts w:ascii="Book Antiqua" w:hAnsi="Book Antiqua"/>
          <w:b/>
          <w:bCs/>
          <w:i/>
          <w:iCs/>
          <w:lang w:val="es-ES"/>
        </w:rPr>
        <w:t>Para la Dirección de Tecnología de la Información y la Dirección de Planificación, Subproceso de Estadística.</w:t>
      </w:r>
    </w:p>
    <w:p w14:paraId="62275D48" w14:textId="77777777" w:rsidR="00167281" w:rsidRPr="00BF7847" w:rsidRDefault="00167281" w:rsidP="003D23E3">
      <w:pPr>
        <w:shd w:val="clear" w:color="auto" w:fill="FFFFFF"/>
        <w:ind w:left="456" w:right="616" w:hanging="30"/>
        <w:jc w:val="both"/>
        <w:rPr>
          <w:rFonts w:ascii="Book Antiqua" w:hAnsi="Book Antiqua"/>
          <w:i/>
          <w:iCs/>
          <w:lang w:val="es-ES"/>
        </w:rPr>
      </w:pPr>
    </w:p>
    <w:p w14:paraId="1B326D4C" w14:textId="67AB62C8" w:rsidR="00167281" w:rsidRPr="00BF7847" w:rsidRDefault="00167281" w:rsidP="009C259C">
      <w:pPr>
        <w:pStyle w:val="Prrafodelista"/>
        <w:numPr>
          <w:ilvl w:val="0"/>
          <w:numId w:val="23"/>
        </w:numPr>
        <w:shd w:val="clear" w:color="auto" w:fill="FFFFFF"/>
        <w:spacing w:after="0" w:line="240" w:lineRule="auto"/>
        <w:ind w:left="456" w:right="616" w:hanging="30"/>
        <w:contextualSpacing w:val="0"/>
        <w:jc w:val="both"/>
        <w:rPr>
          <w:rFonts w:ascii="Book Antiqua" w:hAnsi="Book Antiqua"/>
          <w:i/>
          <w:iCs/>
          <w:lang w:val="es-ES"/>
        </w:rPr>
      </w:pPr>
      <w:r w:rsidRPr="00BF7847">
        <w:rPr>
          <w:rFonts w:ascii="Book Antiqua" w:hAnsi="Book Antiqua"/>
          <w:i/>
          <w:iCs/>
          <w:lang w:val="es-ES"/>
        </w:rPr>
        <w:t>La Dirección de Tecnología de la Información revise en coordinación con el Subproceso de Estadística de la Dirección de Planificación las nomenclaturas de los motivos de término para el cierre estadístico de los expedientes de la Jurisdicción Laboral y de detectarse en los sistemas informáticos distintas denominaciones de motivos de término con mismos significados jurídicos proceder a la desactivación, con el fin de evitar confusiones y por consiguiente inconsistencias estadísticas.</w:t>
      </w:r>
    </w:p>
    <w:p w14:paraId="26CB306D" w14:textId="21E705D1" w:rsidR="00167281" w:rsidRDefault="00167281" w:rsidP="00BD7DB8">
      <w:pPr>
        <w:spacing w:line="276" w:lineRule="auto"/>
        <w:ind w:right="-37"/>
        <w:jc w:val="both"/>
        <w:rPr>
          <w:rFonts w:ascii="Book Antiqua" w:hAnsi="Book Antiqua"/>
        </w:rPr>
      </w:pPr>
    </w:p>
    <w:p w14:paraId="7E5FA9BB" w14:textId="6F19335B" w:rsidR="0019160A" w:rsidRPr="003D23E3" w:rsidRDefault="0019160A" w:rsidP="003D23E3">
      <w:pPr>
        <w:spacing w:line="276" w:lineRule="auto"/>
        <w:ind w:left="360"/>
        <w:jc w:val="both"/>
        <w:rPr>
          <w:rFonts w:ascii="Book Antiqua" w:hAnsi="Book Antiqua"/>
        </w:rPr>
      </w:pPr>
      <w:r w:rsidRPr="003D23E3">
        <w:rPr>
          <w:rFonts w:ascii="Book Antiqua" w:hAnsi="Book Antiqua"/>
        </w:rPr>
        <w:t xml:space="preserve">En atención al requerimiento el Subproceso de Estadística </w:t>
      </w:r>
      <w:r w:rsidR="00C37402">
        <w:rPr>
          <w:rFonts w:ascii="Book Antiqua" w:hAnsi="Book Antiqua"/>
        </w:rPr>
        <w:t xml:space="preserve">informa que </w:t>
      </w:r>
      <w:r w:rsidR="00E366ED">
        <w:rPr>
          <w:rFonts w:ascii="Book Antiqua" w:hAnsi="Book Antiqua"/>
        </w:rPr>
        <w:t xml:space="preserve">ha realizado reuniones con la </w:t>
      </w:r>
      <w:r w:rsidR="00C92420">
        <w:rPr>
          <w:rFonts w:ascii="Book Antiqua" w:hAnsi="Book Antiqua"/>
        </w:rPr>
        <w:t>señora Lour</w:t>
      </w:r>
      <w:r w:rsidR="00C92420" w:rsidRPr="00DF726E">
        <w:rPr>
          <w:rFonts w:ascii="Book Antiqua" w:hAnsi="Book Antiqua"/>
        </w:rPr>
        <w:t xml:space="preserve">des </w:t>
      </w:r>
      <w:r w:rsidR="00C92420" w:rsidRPr="00EF393D">
        <w:rPr>
          <w:rFonts w:ascii="Book Antiqua" w:hAnsi="Book Antiqua"/>
        </w:rPr>
        <w:t>Montenegro Espinoza</w:t>
      </w:r>
      <w:r w:rsidR="00120F6E" w:rsidRPr="00EF393D">
        <w:rPr>
          <w:rFonts w:ascii="Book Antiqua" w:hAnsi="Book Antiqua"/>
        </w:rPr>
        <w:t>,</w:t>
      </w:r>
      <w:r w:rsidR="00C92420" w:rsidRPr="00EF393D">
        <w:rPr>
          <w:rFonts w:ascii="Book Antiqua" w:hAnsi="Book Antiqua"/>
        </w:rPr>
        <w:t xml:space="preserve"> </w:t>
      </w:r>
      <w:r w:rsidR="00C37402" w:rsidRPr="00EF393D">
        <w:rPr>
          <w:rFonts w:ascii="Book Antiqua" w:hAnsi="Book Antiqua"/>
        </w:rPr>
        <w:t xml:space="preserve">Gestora de </w:t>
      </w:r>
      <w:r w:rsidR="00120F6E" w:rsidRPr="00EF393D">
        <w:rPr>
          <w:rFonts w:ascii="Book Antiqua" w:hAnsi="Book Antiqua"/>
        </w:rPr>
        <w:t xml:space="preserve">la materia </w:t>
      </w:r>
      <w:r w:rsidR="001864F2" w:rsidRPr="00EF393D">
        <w:rPr>
          <w:rFonts w:ascii="Book Antiqua" w:hAnsi="Book Antiqua"/>
        </w:rPr>
        <w:t>Laboral, con la finalidad</w:t>
      </w:r>
      <w:r w:rsidR="00E366ED" w:rsidRPr="00EF393D">
        <w:rPr>
          <w:rFonts w:ascii="Book Antiqua" w:hAnsi="Book Antiqua"/>
        </w:rPr>
        <w:t xml:space="preserve"> de </w:t>
      </w:r>
      <w:r w:rsidR="008F2AE1" w:rsidRPr="00EF393D">
        <w:rPr>
          <w:rFonts w:ascii="Book Antiqua" w:hAnsi="Book Antiqua"/>
        </w:rPr>
        <w:t>definir</w:t>
      </w:r>
      <w:r w:rsidR="001864F2" w:rsidRPr="00EF393D">
        <w:rPr>
          <w:rFonts w:ascii="Book Antiqua" w:hAnsi="Book Antiqua"/>
        </w:rPr>
        <w:t xml:space="preserve"> en la </w:t>
      </w:r>
      <w:r w:rsidR="00332E02" w:rsidRPr="00EF393D">
        <w:rPr>
          <w:rFonts w:ascii="Book Antiqua" w:hAnsi="Book Antiqua"/>
        </w:rPr>
        <w:t>en</w:t>
      </w:r>
      <w:r w:rsidRPr="00EF393D">
        <w:rPr>
          <w:rFonts w:ascii="Book Antiqua" w:hAnsi="Book Antiqua"/>
        </w:rPr>
        <w:t xml:space="preserve"> </w:t>
      </w:r>
      <w:r w:rsidR="00332E02" w:rsidRPr="00EF393D">
        <w:rPr>
          <w:rFonts w:ascii="Book Antiqua" w:hAnsi="Book Antiqua"/>
        </w:rPr>
        <w:t xml:space="preserve">la fórmula estadística </w:t>
      </w:r>
      <w:r w:rsidRPr="00EF393D">
        <w:rPr>
          <w:rFonts w:ascii="Book Antiqua" w:hAnsi="Book Antiqua"/>
        </w:rPr>
        <w:t xml:space="preserve">los </w:t>
      </w:r>
      <w:r w:rsidRPr="00B72963">
        <w:rPr>
          <w:rFonts w:ascii="Book Antiqua" w:hAnsi="Book Antiqua"/>
        </w:rPr>
        <w:t xml:space="preserve">estados </w:t>
      </w:r>
      <w:r w:rsidR="00120F6E" w:rsidRPr="003D23E3">
        <w:rPr>
          <w:rFonts w:ascii="Book Antiqua" w:hAnsi="Book Antiqua"/>
        </w:rPr>
        <w:t>que tienen cierre estadístico</w:t>
      </w:r>
      <w:r w:rsidR="00120F6E" w:rsidRPr="00B72963">
        <w:rPr>
          <w:rFonts w:ascii="Book Antiqua" w:hAnsi="Book Antiqua"/>
        </w:rPr>
        <w:t xml:space="preserve"> para los Tribunales de </w:t>
      </w:r>
      <w:r w:rsidR="00306D30">
        <w:rPr>
          <w:rFonts w:ascii="Book Antiqua" w:hAnsi="Book Antiqua"/>
        </w:rPr>
        <w:t>segunda instancia</w:t>
      </w:r>
      <w:r w:rsidR="00310E32">
        <w:rPr>
          <w:rFonts w:ascii="Book Antiqua" w:hAnsi="Book Antiqua"/>
        </w:rPr>
        <w:t xml:space="preserve">. Se realizó la </w:t>
      </w:r>
      <w:r w:rsidR="00310E32" w:rsidRPr="00310E32">
        <w:rPr>
          <w:rFonts w:ascii="Book Antiqua" w:hAnsi="Book Antiqua"/>
        </w:rPr>
        <w:t>primera reunión de Modificación de la fórmula Laboral II instancia el 1</w:t>
      </w:r>
      <w:r w:rsidR="00310E32" w:rsidRPr="00DF726E">
        <w:rPr>
          <w:rFonts w:ascii="Book Antiqua" w:hAnsi="Book Antiqua"/>
        </w:rPr>
        <w:t>8</w:t>
      </w:r>
      <w:r w:rsidR="00310E32" w:rsidRPr="00EF393D">
        <w:rPr>
          <w:rFonts w:ascii="Book Antiqua" w:hAnsi="Book Antiqua"/>
        </w:rPr>
        <w:t xml:space="preserve"> de marzo </w:t>
      </w:r>
      <w:r w:rsidR="00F7769F" w:rsidRPr="00EF393D">
        <w:rPr>
          <w:rFonts w:ascii="Book Antiqua" w:hAnsi="Book Antiqua"/>
        </w:rPr>
        <w:t xml:space="preserve">de </w:t>
      </w:r>
      <w:r w:rsidR="00310E32" w:rsidRPr="00EF393D">
        <w:rPr>
          <w:rFonts w:ascii="Book Antiqua" w:hAnsi="Book Antiqua"/>
        </w:rPr>
        <w:t>2021, la segunda el 8</w:t>
      </w:r>
      <w:r w:rsidR="00F7769F" w:rsidRPr="00EF393D">
        <w:rPr>
          <w:rFonts w:ascii="Book Antiqua" w:hAnsi="Book Antiqua"/>
        </w:rPr>
        <w:t xml:space="preserve"> de junio </w:t>
      </w:r>
      <w:r w:rsidR="00310E32" w:rsidRPr="00EF393D">
        <w:rPr>
          <w:rFonts w:ascii="Book Antiqua" w:hAnsi="Book Antiqua"/>
        </w:rPr>
        <w:t xml:space="preserve">2021 y la tercera </w:t>
      </w:r>
      <w:r w:rsidR="00F7769F" w:rsidRPr="00EF393D">
        <w:rPr>
          <w:rFonts w:ascii="Book Antiqua" w:hAnsi="Book Antiqua"/>
        </w:rPr>
        <w:t>se el 14 de junio 2021.</w:t>
      </w:r>
      <w:r w:rsidR="00F7769F">
        <w:rPr>
          <w:rFonts w:ascii="Book Antiqua" w:hAnsi="Book Antiqua"/>
        </w:rPr>
        <w:t xml:space="preserve"> </w:t>
      </w:r>
    </w:p>
    <w:p w14:paraId="5D49F0F4" w14:textId="77777777" w:rsidR="00B9219E" w:rsidRDefault="00B9219E" w:rsidP="00BD7DB8">
      <w:pPr>
        <w:spacing w:line="276" w:lineRule="auto"/>
        <w:ind w:right="-37"/>
        <w:jc w:val="both"/>
        <w:rPr>
          <w:rFonts w:ascii="Book Antiqua" w:hAnsi="Book Antiqua"/>
        </w:rPr>
      </w:pPr>
    </w:p>
    <w:p w14:paraId="69C64CFA" w14:textId="5BE880EB" w:rsidR="00B979AE" w:rsidRDefault="00B979AE" w:rsidP="00D611CE">
      <w:pPr>
        <w:pStyle w:val="Ttulo2"/>
      </w:pPr>
      <w:r>
        <w:t xml:space="preserve">Indicadores de Gestión </w:t>
      </w:r>
    </w:p>
    <w:p w14:paraId="7783F08D" w14:textId="77777777" w:rsidR="00B979AE" w:rsidRDefault="00B979AE" w:rsidP="00B979AE">
      <w:pPr>
        <w:spacing w:line="276" w:lineRule="auto"/>
        <w:ind w:left="360"/>
        <w:jc w:val="both"/>
        <w:rPr>
          <w:rFonts w:ascii="Book Antiqua" w:hAnsi="Book Antiqua"/>
        </w:rPr>
      </w:pPr>
    </w:p>
    <w:p w14:paraId="1BB05A58" w14:textId="34D4223F" w:rsidR="00B979AE" w:rsidRDefault="00AE0037" w:rsidP="00B979AE">
      <w:pPr>
        <w:spacing w:line="276" w:lineRule="auto"/>
        <w:jc w:val="both"/>
        <w:rPr>
          <w:rFonts w:ascii="Book Antiqua" w:hAnsi="Book Antiqua"/>
        </w:rPr>
      </w:pPr>
      <w:r>
        <w:rPr>
          <w:rFonts w:ascii="Book Antiqua" w:hAnsi="Book Antiqua"/>
        </w:rPr>
        <w:t>Para l</w:t>
      </w:r>
      <w:r w:rsidR="00092199">
        <w:rPr>
          <w:rFonts w:ascii="Book Antiqua" w:hAnsi="Book Antiqua"/>
        </w:rPr>
        <w:t>as matrices</w:t>
      </w:r>
      <w:r w:rsidR="00B979AE">
        <w:rPr>
          <w:rFonts w:ascii="Book Antiqua" w:hAnsi="Book Antiqua"/>
        </w:rPr>
        <w:t xml:space="preserve"> de indicadores de gestión de los Tribunales de Apelación Civil y Laboral </w:t>
      </w:r>
      <w:r w:rsidR="005D4D6A" w:rsidRPr="004B6036">
        <w:rPr>
          <w:rFonts w:ascii="Book Antiqua" w:hAnsi="Book Antiqua"/>
        </w:rPr>
        <w:t xml:space="preserve">se </w:t>
      </w:r>
      <w:r w:rsidR="00624AAF" w:rsidRPr="004B6036">
        <w:rPr>
          <w:rFonts w:ascii="Book Antiqua" w:hAnsi="Book Antiqua"/>
        </w:rPr>
        <w:t>reali</w:t>
      </w:r>
      <w:r w:rsidR="0082394E" w:rsidRPr="004B6036">
        <w:rPr>
          <w:rFonts w:ascii="Book Antiqua" w:hAnsi="Book Antiqua"/>
        </w:rPr>
        <w:t>zaron</w:t>
      </w:r>
      <w:r w:rsidR="00624AAF" w:rsidRPr="004B6036">
        <w:rPr>
          <w:rFonts w:ascii="Book Antiqua" w:hAnsi="Book Antiqua"/>
        </w:rPr>
        <w:t xml:space="preserve"> variac</w:t>
      </w:r>
      <w:r w:rsidR="0082394E" w:rsidRPr="004B6036">
        <w:rPr>
          <w:rFonts w:ascii="Book Antiqua" w:hAnsi="Book Antiqua"/>
        </w:rPr>
        <w:t>iones</w:t>
      </w:r>
      <w:r w:rsidR="005D4D6A" w:rsidRPr="004B6036">
        <w:rPr>
          <w:rFonts w:ascii="Book Antiqua" w:hAnsi="Book Antiqua"/>
        </w:rPr>
        <w:t xml:space="preserve"> </w:t>
      </w:r>
      <w:r w:rsidR="008B6426" w:rsidRPr="004B6036">
        <w:rPr>
          <w:rFonts w:ascii="Book Antiqua" w:hAnsi="Book Antiqua"/>
        </w:rPr>
        <w:t xml:space="preserve">tanto </w:t>
      </w:r>
      <w:r w:rsidR="00B979AE" w:rsidRPr="004B6036">
        <w:rPr>
          <w:rFonts w:ascii="Book Antiqua" w:hAnsi="Book Antiqua"/>
        </w:rPr>
        <w:t>en</w:t>
      </w:r>
      <w:r w:rsidR="00B979AE" w:rsidRPr="002B3DAC">
        <w:rPr>
          <w:rFonts w:ascii="Book Antiqua" w:hAnsi="Book Antiqua"/>
        </w:rPr>
        <w:t xml:space="preserve"> forma </w:t>
      </w:r>
      <w:r w:rsidR="008B6426" w:rsidRPr="002B3DAC">
        <w:rPr>
          <w:rFonts w:ascii="Book Antiqua" w:hAnsi="Book Antiqua"/>
        </w:rPr>
        <w:t>como</w:t>
      </w:r>
      <w:r w:rsidR="008B6426">
        <w:rPr>
          <w:rFonts w:ascii="Book Antiqua" w:hAnsi="Book Antiqua"/>
        </w:rPr>
        <w:t xml:space="preserve"> en</w:t>
      </w:r>
      <w:r w:rsidR="00B979AE">
        <w:rPr>
          <w:rFonts w:ascii="Book Antiqua" w:hAnsi="Book Antiqua"/>
        </w:rPr>
        <w:t xml:space="preserve"> fondo </w:t>
      </w:r>
      <w:r w:rsidR="0082394E">
        <w:rPr>
          <w:rFonts w:ascii="Book Antiqua" w:hAnsi="Book Antiqua"/>
        </w:rPr>
        <w:t>(</w:t>
      </w:r>
      <w:r w:rsidR="00B979AE" w:rsidRPr="00522706">
        <w:rPr>
          <w:rFonts w:ascii="Book Antiqua" w:hAnsi="Book Antiqua"/>
          <w:i/>
          <w:iCs/>
        </w:rPr>
        <w:t xml:space="preserve">modificación de parámetros e </w:t>
      </w:r>
      <w:r w:rsidR="00FC0945" w:rsidRPr="00522706">
        <w:rPr>
          <w:rFonts w:ascii="Book Antiqua" w:hAnsi="Book Antiqua"/>
          <w:i/>
          <w:iCs/>
        </w:rPr>
        <w:t>inclusión de indicadores</w:t>
      </w:r>
      <w:r w:rsidR="0082394E">
        <w:rPr>
          <w:rFonts w:ascii="Book Antiqua" w:hAnsi="Book Antiqua"/>
        </w:rPr>
        <w:t>), a</w:t>
      </w:r>
      <w:r w:rsidR="00B979AE">
        <w:rPr>
          <w:rFonts w:ascii="Book Antiqua" w:hAnsi="Book Antiqua"/>
        </w:rPr>
        <w:t xml:space="preserve"> continuación, se detallan los cambios realizados </w:t>
      </w:r>
      <w:r w:rsidR="00767944">
        <w:rPr>
          <w:rFonts w:ascii="Book Antiqua" w:hAnsi="Book Antiqua"/>
        </w:rPr>
        <w:t>sobre</w:t>
      </w:r>
      <w:r w:rsidR="00B979AE">
        <w:rPr>
          <w:rFonts w:ascii="Book Antiqua" w:hAnsi="Book Antiqua"/>
        </w:rPr>
        <w:t xml:space="preserve"> el fondo </w:t>
      </w:r>
      <w:r w:rsidR="00767944">
        <w:rPr>
          <w:rFonts w:ascii="Book Antiqua" w:hAnsi="Book Antiqua"/>
        </w:rPr>
        <w:t xml:space="preserve">en </w:t>
      </w:r>
      <w:r w:rsidR="00B979AE">
        <w:rPr>
          <w:rFonts w:ascii="Book Antiqua" w:hAnsi="Book Antiqua"/>
        </w:rPr>
        <w:t>las matrices de indicadores de gestión</w:t>
      </w:r>
      <w:r w:rsidR="00FC0945">
        <w:rPr>
          <w:rFonts w:ascii="Book Antiqua" w:hAnsi="Book Antiqua"/>
        </w:rPr>
        <w:t>:</w:t>
      </w:r>
    </w:p>
    <w:p w14:paraId="49328BD9" w14:textId="77777777" w:rsidR="00E1377C" w:rsidRDefault="00E1377C" w:rsidP="00B979AE">
      <w:pPr>
        <w:spacing w:line="276" w:lineRule="auto"/>
        <w:jc w:val="both"/>
        <w:rPr>
          <w:rFonts w:ascii="Book Antiqua" w:hAnsi="Book Antiqua"/>
        </w:rPr>
      </w:pPr>
    </w:p>
    <w:p w14:paraId="5786A507" w14:textId="77777777" w:rsidR="00B979AE" w:rsidRPr="00152FDE" w:rsidRDefault="00B979AE" w:rsidP="009C259C">
      <w:pPr>
        <w:pStyle w:val="Prrafodelista"/>
        <w:numPr>
          <w:ilvl w:val="1"/>
          <w:numId w:val="1"/>
        </w:numPr>
        <w:spacing w:line="276" w:lineRule="auto"/>
        <w:jc w:val="both"/>
        <w:rPr>
          <w:rFonts w:ascii="Book Antiqua" w:hAnsi="Book Antiqua"/>
          <w:b/>
          <w:bCs/>
        </w:rPr>
      </w:pPr>
      <w:r w:rsidRPr="00152FDE">
        <w:rPr>
          <w:rFonts w:ascii="Book Antiqua" w:hAnsi="Book Antiqua"/>
          <w:b/>
          <w:bCs/>
        </w:rPr>
        <w:t xml:space="preserve">Categoría Rendimiento estadístico: </w:t>
      </w:r>
    </w:p>
    <w:p w14:paraId="6375ED2F" w14:textId="77777777" w:rsidR="00B979AE" w:rsidRPr="00152FDE" w:rsidRDefault="00B979AE" w:rsidP="009C259C">
      <w:pPr>
        <w:pStyle w:val="Prrafodelista"/>
        <w:numPr>
          <w:ilvl w:val="0"/>
          <w:numId w:val="9"/>
        </w:numPr>
        <w:spacing w:line="276" w:lineRule="auto"/>
        <w:jc w:val="both"/>
        <w:rPr>
          <w:rFonts w:ascii="Book Antiqua" w:hAnsi="Book Antiqua"/>
          <w:b/>
          <w:bCs/>
        </w:rPr>
      </w:pPr>
      <w:r w:rsidRPr="00152FDE">
        <w:rPr>
          <w:rFonts w:ascii="Book Antiqua" w:hAnsi="Book Antiqua"/>
          <w:b/>
          <w:bCs/>
        </w:rPr>
        <w:t>E</w:t>
      </w:r>
      <w:r w:rsidRPr="0072057C">
        <w:rPr>
          <w:rFonts w:ascii="Book Antiqua" w:hAnsi="Book Antiqua"/>
          <w:b/>
          <w:bCs/>
        </w:rPr>
        <w:t>ntrada de asuntos</w:t>
      </w:r>
      <w:r w:rsidRPr="00685885">
        <w:rPr>
          <w:rFonts w:ascii="Book Antiqua" w:hAnsi="Book Antiqua"/>
          <w:b/>
          <w:bCs/>
        </w:rPr>
        <w:t xml:space="preserve"> nuevos</w:t>
      </w:r>
      <w:r w:rsidRPr="00152FDE">
        <w:rPr>
          <w:rFonts w:ascii="Book Antiqua" w:hAnsi="Book Antiqua"/>
        </w:rPr>
        <w:t xml:space="preserve">, </w:t>
      </w:r>
      <w:r>
        <w:rPr>
          <w:rFonts w:ascii="Book Antiqua" w:hAnsi="Book Antiqua"/>
        </w:rPr>
        <w:t xml:space="preserve">modificación en parámetros </w:t>
      </w:r>
      <w:r w:rsidRPr="00152FDE">
        <w:rPr>
          <w:rFonts w:ascii="Book Antiqua" w:hAnsi="Book Antiqua"/>
        </w:rPr>
        <w:t xml:space="preserve">por materia Civil y </w:t>
      </w:r>
      <w:r w:rsidRPr="0072057C">
        <w:rPr>
          <w:rFonts w:ascii="Book Antiqua" w:hAnsi="Book Antiqua"/>
        </w:rPr>
        <w:t>Laboral</w:t>
      </w:r>
      <w:r w:rsidRPr="00152FDE">
        <w:rPr>
          <w:rFonts w:ascii="Book Antiqua" w:hAnsi="Book Antiqua"/>
        </w:rPr>
        <w:t>, promedio de Anuarios Judiciales de los años 2018 y 2019</w:t>
      </w:r>
      <w:r>
        <w:rPr>
          <w:rFonts w:ascii="Book Antiqua" w:hAnsi="Book Antiqua"/>
          <w:b/>
          <w:bCs/>
        </w:rPr>
        <w:t>.</w:t>
      </w:r>
    </w:p>
    <w:p w14:paraId="3E1916A4" w14:textId="77777777" w:rsidR="00B979AE" w:rsidRPr="00152FDE" w:rsidRDefault="00B979AE" w:rsidP="009C259C">
      <w:pPr>
        <w:pStyle w:val="Prrafodelista"/>
        <w:numPr>
          <w:ilvl w:val="0"/>
          <w:numId w:val="9"/>
        </w:numPr>
        <w:spacing w:line="276" w:lineRule="auto"/>
        <w:jc w:val="both"/>
        <w:rPr>
          <w:rFonts w:ascii="Book Antiqua" w:hAnsi="Book Antiqua"/>
          <w:b/>
          <w:bCs/>
        </w:rPr>
      </w:pPr>
      <w:r>
        <w:rPr>
          <w:rFonts w:ascii="Book Antiqua" w:hAnsi="Book Antiqua"/>
          <w:b/>
          <w:bCs/>
        </w:rPr>
        <w:t>Salida de asuntos</w:t>
      </w:r>
      <w:r w:rsidRPr="00685885">
        <w:rPr>
          <w:rFonts w:ascii="Book Antiqua" w:hAnsi="Book Antiqua"/>
        </w:rPr>
        <w:t xml:space="preserve">, </w:t>
      </w:r>
      <w:r>
        <w:rPr>
          <w:rFonts w:ascii="Book Antiqua" w:hAnsi="Book Antiqua"/>
        </w:rPr>
        <w:t xml:space="preserve">modificación en parámetros </w:t>
      </w:r>
      <w:r w:rsidRPr="00C03B85">
        <w:rPr>
          <w:rFonts w:ascii="Book Antiqua" w:hAnsi="Book Antiqua"/>
        </w:rPr>
        <w:t xml:space="preserve">por materia Civil y </w:t>
      </w:r>
      <w:r w:rsidRPr="0072057C">
        <w:rPr>
          <w:rFonts w:ascii="Book Antiqua" w:hAnsi="Book Antiqua"/>
        </w:rPr>
        <w:t>Laboral</w:t>
      </w:r>
      <w:r w:rsidRPr="00C03B85">
        <w:rPr>
          <w:rFonts w:ascii="Book Antiqua" w:hAnsi="Book Antiqua"/>
        </w:rPr>
        <w:t>, promedio de Anuarios Judiciales de los años 2018 y 2019</w:t>
      </w:r>
      <w:r>
        <w:rPr>
          <w:rFonts w:ascii="Book Antiqua" w:hAnsi="Book Antiqua"/>
        </w:rPr>
        <w:t xml:space="preserve">, en caso de que el dato sea inferior a la cantidad de sentencias dictadas, se define según la cantidad de expedientes que el despacho debe de finalizar según cuota de dictado de sentencias </w:t>
      </w:r>
      <w:r w:rsidRPr="00B2276E">
        <w:rPr>
          <w:rFonts w:ascii="Book Antiqua" w:hAnsi="Book Antiqua"/>
        </w:rPr>
        <w:t>definido que corresponde a 17 sentencias por persona juzgadora</w:t>
      </w:r>
      <w:r>
        <w:rPr>
          <w:rFonts w:ascii="Book Antiqua" w:hAnsi="Book Antiqua"/>
        </w:rPr>
        <w:t>.</w:t>
      </w:r>
      <w:r w:rsidRPr="00152FDE">
        <w:rPr>
          <w:rFonts w:ascii="Book Antiqua" w:hAnsi="Book Antiqua"/>
        </w:rPr>
        <w:t xml:space="preserve"> </w:t>
      </w:r>
    </w:p>
    <w:p w14:paraId="63866100" w14:textId="58677C89" w:rsidR="00B979AE" w:rsidRPr="00152FDE" w:rsidRDefault="00B979AE" w:rsidP="009C259C">
      <w:pPr>
        <w:pStyle w:val="Prrafodelista"/>
        <w:numPr>
          <w:ilvl w:val="0"/>
          <w:numId w:val="9"/>
        </w:numPr>
        <w:spacing w:line="276" w:lineRule="auto"/>
        <w:jc w:val="both"/>
        <w:rPr>
          <w:rFonts w:ascii="Book Antiqua" w:hAnsi="Book Antiqua"/>
          <w:b/>
          <w:bCs/>
        </w:rPr>
      </w:pPr>
      <w:r w:rsidRPr="00152FDE">
        <w:rPr>
          <w:rFonts w:ascii="Book Antiqua" w:hAnsi="Book Antiqua"/>
          <w:b/>
          <w:bCs/>
        </w:rPr>
        <w:t>Circulante total del despacho</w:t>
      </w:r>
      <w:r>
        <w:rPr>
          <w:rFonts w:ascii="Book Antiqua" w:hAnsi="Book Antiqua"/>
        </w:rPr>
        <w:t>, promedio de resultado obtenido durante el año 2019 de Indicadores de Gestión</w:t>
      </w:r>
      <w:r w:rsidR="003C6465">
        <w:rPr>
          <w:rFonts w:ascii="Book Antiqua" w:hAnsi="Book Antiqua"/>
        </w:rPr>
        <w:t xml:space="preserve"> </w:t>
      </w:r>
      <w:r w:rsidR="00D835A8">
        <w:rPr>
          <w:rFonts w:ascii="Book Antiqua" w:hAnsi="Book Antiqua"/>
        </w:rPr>
        <w:t xml:space="preserve">por considerase el </w:t>
      </w:r>
      <w:r w:rsidR="003C6465">
        <w:rPr>
          <w:rFonts w:ascii="Book Antiqua" w:hAnsi="Book Antiqua"/>
        </w:rPr>
        <w:t>dato más estable</w:t>
      </w:r>
      <w:r>
        <w:rPr>
          <w:rFonts w:ascii="Book Antiqua" w:hAnsi="Book Antiqua"/>
        </w:rPr>
        <w:t xml:space="preserve">.  </w:t>
      </w:r>
    </w:p>
    <w:p w14:paraId="35442B85" w14:textId="77777777" w:rsidR="00B979AE" w:rsidRPr="00152FDE" w:rsidRDefault="00B979AE" w:rsidP="00B979AE">
      <w:pPr>
        <w:pStyle w:val="Prrafodelista"/>
        <w:spacing w:line="276" w:lineRule="auto"/>
        <w:jc w:val="both"/>
        <w:rPr>
          <w:rFonts w:ascii="Book Antiqua" w:hAnsi="Book Antiqua"/>
          <w:b/>
          <w:bCs/>
        </w:rPr>
      </w:pPr>
    </w:p>
    <w:p w14:paraId="13466416" w14:textId="77777777" w:rsidR="00B979AE" w:rsidRPr="00F23AC6" w:rsidRDefault="00B979AE" w:rsidP="009C259C">
      <w:pPr>
        <w:pStyle w:val="Prrafodelista"/>
        <w:numPr>
          <w:ilvl w:val="1"/>
          <w:numId w:val="1"/>
        </w:numPr>
        <w:spacing w:line="276" w:lineRule="auto"/>
        <w:jc w:val="both"/>
        <w:rPr>
          <w:rFonts w:ascii="Book Antiqua" w:hAnsi="Book Antiqua"/>
          <w:b/>
          <w:bCs/>
        </w:rPr>
      </w:pPr>
      <w:r w:rsidRPr="00F23AC6">
        <w:rPr>
          <w:rFonts w:ascii="Book Antiqua" w:hAnsi="Book Antiqua"/>
          <w:b/>
          <w:bCs/>
        </w:rPr>
        <w:t>Categoría Plazos</w:t>
      </w:r>
    </w:p>
    <w:p w14:paraId="3E571AE0" w14:textId="1B720084" w:rsidR="00C019CA" w:rsidRPr="00C44510" w:rsidRDefault="00B979AE" w:rsidP="009C259C">
      <w:pPr>
        <w:pStyle w:val="Prrafodelista"/>
        <w:numPr>
          <w:ilvl w:val="0"/>
          <w:numId w:val="12"/>
        </w:numPr>
        <w:spacing w:line="276" w:lineRule="auto"/>
        <w:ind w:left="709" w:firstLine="0"/>
        <w:jc w:val="both"/>
        <w:rPr>
          <w:rFonts w:ascii="Book Antiqua" w:hAnsi="Book Antiqua"/>
          <w:lang w:val="es-ES"/>
        </w:rPr>
      </w:pPr>
      <w:r w:rsidRPr="0019160A">
        <w:rPr>
          <w:rFonts w:ascii="Book Antiqua" w:hAnsi="Book Antiqua"/>
          <w:b/>
        </w:rPr>
        <w:t xml:space="preserve">Plazo de espera de dictado de sentencia general: </w:t>
      </w:r>
      <w:r w:rsidRPr="0019160A">
        <w:rPr>
          <w:rFonts w:ascii="Book Antiqua" w:hAnsi="Book Antiqua"/>
        </w:rPr>
        <w:t xml:space="preserve">En materia Laboral se modifica según lo establecido en el Artículo 592 del Código de Trabajo. </w:t>
      </w:r>
      <w:r w:rsidR="00915DBF" w:rsidRPr="00F23AC6">
        <w:rPr>
          <w:rFonts w:ascii="Book Antiqua" w:hAnsi="Book Antiqua"/>
        </w:rPr>
        <w:t>Para la mater</w:t>
      </w:r>
      <w:r w:rsidR="003F73BA" w:rsidRPr="00F23AC6">
        <w:rPr>
          <w:rFonts w:ascii="Book Antiqua" w:hAnsi="Book Antiqua"/>
        </w:rPr>
        <w:t>ia Civil s</w:t>
      </w:r>
      <w:r w:rsidR="00D74822" w:rsidRPr="00F23AC6">
        <w:rPr>
          <w:rFonts w:ascii="Book Antiqua" w:hAnsi="Book Antiqua"/>
        </w:rPr>
        <w:t xml:space="preserve">e </w:t>
      </w:r>
      <w:r w:rsidR="003F73BA" w:rsidRPr="00F23AC6">
        <w:rPr>
          <w:rFonts w:ascii="Book Antiqua" w:hAnsi="Book Antiqua"/>
        </w:rPr>
        <w:t>homologa</w:t>
      </w:r>
      <w:r w:rsidR="00D74822" w:rsidRPr="00F23AC6">
        <w:rPr>
          <w:rFonts w:ascii="Book Antiqua" w:hAnsi="Book Antiqua"/>
        </w:rPr>
        <w:t xml:space="preserve"> el plazo de dictado de sentencia conforme a lo establecido en el informe </w:t>
      </w:r>
      <w:r w:rsidR="00D74822" w:rsidRPr="00C44510">
        <w:rPr>
          <w:rFonts w:ascii="Book Antiqua" w:hAnsi="Book Antiqua"/>
        </w:rPr>
        <w:t>31-PLA-PI-2016</w:t>
      </w:r>
      <w:r w:rsidR="00A34D13" w:rsidRPr="00C44510">
        <w:rPr>
          <w:rFonts w:ascii="Book Antiqua" w:hAnsi="Book Antiqua"/>
        </w:rPr>
        <w:t xml:space="preserve"> Impacto organizacional y presupuestario en el Poder Judicial a partir de la promulgación del Nuevo Código Procesal Civil</w:t>
      </w:r>
      <w:r w:rsidR="002A51DB" w:rsidRPr="00F23AC6">
        <w:rPr>
          <w:rFonts w:ascii="Book Antiqua" w:hAnsi="Book Antiqua"/>
        </w:rPr>
        <w:t>, en el cual se establ</w:t>
      </w:r>
      <w:r w:rsidR="002A51DB" w:rsidRPr="004C662D">
        <w:rPr>
          <w:rFonts w:ascii="Book Antiqua" w:hAnsi="Book Antiqua"/>
        </w:rPr>
        <w:t xml:space="preserve">eció </w:t>
      </w:r>
      <w:r w:rsidR="007B3471" w:rsidRPr="004C662D">
        <w:rPr>
          <w:rFonts w:ascii="Book Antiqua" w:hAnsi="Book Antiqua"/>
        </w:rPr>
        <w:t xml:space="preserve">30 días </w:t>
      </w:r>
      <w:r w:rsidR="001F0B82" w:rsidRPr="004C662D">
        <w:rPr>
          <w:rFonts w:ascii="Book Antiqua" w:hAnsi="Book Antiqua"/>
        </w:rPr>
        <w:t xml:space="preserve">naturales </w:t>
      </w:r>
      <w:r w:rsidR="007B3471" w:rsidRPr="004C662D">
        <w:rPr>
          <w:rFonts w:ascii="Book Antiqua" w:hAnsi="Book Antiqua"/>
        </w:rPr>
        <w:t xml:space="preserve">para el dictado de sentencia de </w:t>
      </w:r>
      <w:r w:rsidR="007B3471" w:rsidRPr="0019160A">
        <w:rPr>
          <w:rFonts w:ascii="Book Antiqua" w:hAnsi="Book Antiqua"/>
        </w:rPr>
        <w:t xml:space="preserve">apelación de resolución interlocutoria y </w:t>
      </w:r>
      <w:r w:rsidR="00BF12E2" w:rsidRPr="0019160A">
        <w:rPr>
          <w:rFonts w:ascii="Book Antiqua" w:hAnsi="Book Antiqua"/>
        </w:rPr>
        <w:t xml:space="preserve">90 días </w:t>
      </w:r>
      <w:r w:rsidR="008064BA" w:rsidRPr="0019160A">
        <w:rPr>
          <w:rFonts w:ascii="Book Antiqua" w:hAnsi="Book Antiqua"/>
        </w:rPr>
        <w:t>naturales para el dictado de segunda instancia</w:t>
      </w:r>
      <w:r w:rsidR="007B3471" w:rsidRPr="00332E02">
        <w:rPr>
          <w:rFonts w:ascii="Book Antiqua" w:hAnsi="Book Antiqua"/>
        </w:rPr>
        <w:t xml:space="preserve">. </w:t>
      </w:r>
    </w:p>
    <w:p w14:paraId="06498E92" w14:textId="77777777" w:rsidR="00C019CA" w:rsidRPr="00C44510" w:rsidRDefault="00C019CA" w:rsidP="00C019CA">
      <w:pPr>
        <w:pStyle w:val="Prrafodelista"/>
        <w:spacing w:line="276" w:lineRule="auto"/>
        <w:ind w:left="709"/>
        <w:jc w:val="both"/>
        <w:rPr>
          <w:rFonts w:ascii="Book Antiqua" w:hAnsi="Book Antiqua"/>
          <w:b/>
        </w:rPr>
      </w:pPr>
    </w:p>
    <w:p w14:paraId="7CD03974" w14:textId="650359FF" w:rsidR="00D74822" w:rsidRPr="00C44510" w:rsidRDefault="00C019CA" w:rsidP="00C44510">
      <w:pPr>
        <w:pStyle w:val="Prrafodelista"/>
        <w:spacing w:line="276" w:lineRule="auto"/>
        <w:ind w:left="709"/>
        <w:jc w:val="both"/>
        <w:rPr>
          <w:rFonts w:ascii="Book Antiqua" w:hAnsi="Book Antiqua"/>
          <w:lang w:val="es-ES"/>
        </w:rPr>
      </w:pPr>
      <w:r w:rsidRPr="00C44510">
        <w:rPr>
          <w:rFonts w:ascii="Book Antiqua" w:hAnsi="Book Antiqua"/>
        </w:rPr>
        <w:t xml:space="preserve">No se omite indicar que la Dirección de Planificación realizó el </w:t>
      </w:r>
      <w:r w:rsidR="00915DBF" w:rsidRPr="00C44510">
        <w:rPr>
          <w:rFonts w:ascii="Book Antiqua" w:hAnsi="Book Antiqua"/>
        </w:rPr>
        <w:t>análisis del reporte de desglose de los asuntos terminados en</w:t>
      </w:r>
      <w:r w:rsidR="00915DBF" w:rsidRPr="00C44510" w:rsidDel="003C6465">
        <w:rPr>
          <w:rFonts w:ascii="Book Antiqua" w:hAnsi="Book Antiqua"/>
        </w:rPr>
        <w:t xml:space="preserve"> </w:t>
      </w:r>
      <w:r w:rsidR="00915DBF" w:rsidRPr="00C44510">
        <w:rPr>
          <w:rFonts w:ascii="Book Antiqua" w:hAnsi="Book Antiqua"/>
        </w:rPr>
        <w:t>2019 (información obtenida de SIGMA), para el año indicado se terminaron un total de 3529 expedientes, se tomó una muestra de 2367 expedientes que corresponde al 83% del total de los asuntos terminados, para establecer el plazo se tomó en consideración las sentencias terminadas con los siguientes estados: Confirmada, Modificada, Revocada, Confirma denegatoria, Recursos desistidos, Anuladas, Revoca denegatoria y Resuelve Conflicto</w:t>
      </w:r>
      <w:r w:rsidR="00851E9D" w:rsidRPr="00C44510">
        <w:rPr>
          <w:rFonts w:ascii="Book Antiqua" w:hAnsi="Book Antiqua"/>
        </w:rPr>
        <w:t>, como resultado</w:t>
      </w:r>
      <w:r w:rsidRPr="00C44510">
        <w:rPr>
          <w:rFonts w:ascii="Book Antiqua" w:hAnsi="Book Antiqua"/>
        </w:rPr>
        <w:t xml:space="preserve"> se obtuvo el plazo </w:t>
      </w:r>
      <w:r w:rsidR="00851E9D" w:rsidRPr="00C44510">
        <w:rPr>
          <w:rFonts w:ascii="Book Antiqua" w:hAnsi="Book Antiqua"/>
        </w:rPr>
        <w:t xml:space="preserve">de 103 muy bueno y de 113 días </w:t>
      </w:r>
      <w:r w:rsidR="00480F5A" w:rsidRPr="00C44510">
        <w:rPr>
          <w:rFonts w:ascii="Book Antiqua" w:hAnsi="Book Antiqua"/>
        </w:rPr>
        <w:t>a mejorar de 1</w:t>
      </w:r>
      <w:r w:rsidR="00851E9D" w:rsidRPr="00C44510">
        <w:rPr>
          <w:rFonts w:ascii="Book Antiqua" w:hAnsi="Book Antiqua"/>
        </w:rPr>
        <w:t>1</w:t>
      </w:r>
      <w:r w:rsidR="00480F5A" w:rsidRPr="00C44510">
        <w:rPr>
          <w:rFonts w:ascii="Book Antiqua" w:hAnsi="Book Antiqua"/>
        </w:rPr>
        <w:t>3</w:t>
      </w:r>
      <w:r w:rsidR="00915DBF" w:rsidRPr="00C44510">
        <w:rPr>
          <w:rFonts w:ascii="Book Antiqua" w:hAnsi="Book Antiqua"/>
        </w:rPr>
        <w:t>. Para obtener el plazo promedio se restó la fecha de estado a la fecha de entrada del expediente.</w:t>
      </w:r>
    </w:p>
    <w:p w14:paraId="557A1F91" w14:textId="5B3909A1" w:rsidR="00A55077" w:rsidRPr="008D2F41" w:rsidRDefault="00A55077" w:rsidP="00C44510">
      <w:pPr>
        <w:pStyle w:val="Prrafodelista"/>
        <w:spacing w:line="276" w:lineRule="auto"/>
        <w:ind w:left="709"/>
        <w:jc w:val="both"/>
        <w:rPr>
          <w:rFonts w:ascii="Book Antiqua" w:hAnsi="Book Antiqua"/>
        </w:rPr>
      </w:pPr>
    </w:p>
    <w:p w14:paraId="0E7A6082" w14:textId="4922C205" w:rsidR="00B979AE" w:rsidRPr="008D2F41" w:rsidRDefault="00B979AE" w:rsidP="009C259C">
      <w:pPr>
        <w:pStyle w:val="Prrafodelista"/>
        <w:numPr>
          <w:ilvl w:val="0"/>
          <w:numId w:val="12"/>
        </w:numPr>
        <w:spacing w:line="276" w:lineRule="auto"/>
        <w:ind w:left="709" w:firstLine="0"/>
        <w:jc w:val="both"/>
        <w:rPr>
          <w:rFonts w:ascii="Book Antiqua" w:hAnsi="Book Antiqua"/>
        </w:rPr>
      </w:pPr>
      <w:r w:rsidRPr="008D2F41">
        <w:rPr>
          <w:rFonts w:ascii="Book Antiqua" w:hAnsi="Book Antiqua"/>
          <w:b/>
        </w:rPr>
        <w:t xml:space="preserve"> </w:t>
      </w:r>
      <w:r w:rsidRPr="008D2F41">
        <w:rPr>
          <w:rFonts w:ascii="Book Antiqua" w:hAnsi="Book Antiqua"/>
        </w:rPr>
        <w:t xml:space="preserve">Adicionalmente, se incorpora la medición de plazos de las personas juzgadoras que se destacan en el despacho. </w:t>
      </w:r>
    </w:p>
    <w:p w14:paraId="07D51DC4" w14:textId="77777777" w:rsidR="00B979AE" w:rsidRPr="008D2F41" w:rsidRDefault="00B979AE" w:rsidP="009C259C">
      <w:pPr>
        <w:pStyle w:val="Prrafodelista"/>
        <w:numPr>
          <w:ilvl w:val="0"/>
          <w:numId w:val="12"/>
        </w:numPr>
        <w:spacing w:line="276" w:lineRule="auto"/>
        <w:ind w:left="709" w:firstLine="0"/>
        <w:jc w:val="both"/>
        <w:rPr>
          <w:rFonts w:ascii="Book Antiqua" w:hAnsi="Book Antiqua"/>
        </w:rPr>
      </w:pPr>
      <w:r w:rsidRPr="008D2F41">
        <w:rPr>
          <w:rFonts w:ascii="Book Antiqua" w:hAnsi="Book Antiqua"/>
        </w:rPr>
        <w:t xml:space="preserve">Se incorpora el indicador de la cantidad de escritos pendientes de resolver. </w:t>
      </w:r>
    </w:p>
    <w:p w14:paraId="15E3A712" w14:textId="4CA0882B" w:rsidR="00B979AE" w:rsidRPr="008D2F41" w:rsidRDefault="00B979AE" w:rsidP="009C259C">
      <w:pPr>
        <w:pStyle w:val="Prrafodelista"/>
        <w:numPr>
          <w:ilvl w:val="0"/>
          <w:numId w:val="12"/>
        </w:numPr>
        <w:spacing w:line="276" w:lineRule="auto"/>
        <w:ind w:left="709" w:firstLine="0"/>
        <w:jc w:val="both"/>
        <w:rPr>
          <w:rFonts w:ascii="Book Antiqua" w:hAnsi="Book Antiqua"/>
        </w:rPr>
      </w:pPr>
      <w:r w:rsidRPr="008D2F41">
        <w:rPr>
          <w:rFonts w:ascii="Book Antiqua" w:hAnsi="Book Antiqua"/>
        </w:rPr>
        <w:t xml:space="preserve">Modificación en el plazo para resolver escritos, en virtud de que existen variaciones en los plazos establecidos en los Tribunales de Apelación Civil y </w:t>
      </w:r>
      <w:r w:rsidR="007C6D5E">
        <w:rPr>
          <w:rFonts w:ascii="Book Antiqua" w:hAnsi="Book Antiqua"/>
        </w:rPr>
        <w:t>de Trabajo y</w:t>
      </w:r>
      <w:r w:rsidR="007C6D5E" w:rsidRPr="008D2F41">
        <w:rPr>
          <w:rFonts w:ascii="Book Antiqua" w:hAnsi="Book Antiqua"/>
        </w:rPr>
        <w:t xml:space="preserve"> </w:t>
      </w:r>
      <w:r w:rsidRPr="008D2F41">
        <w:rPr>
          <w:rFonts w:ascii="Book Antiqua" w:hAnsi="Book Antiqua"/>
        </w:rPr>
        <w:t xml:space="preserve">se estandariza </w:t>
      </w:r>
      <w:r w:rsidR="007C6D5E">
        <w:rPr>
          <w:rFonts w:ascii="Book Antiqua" w:hAnsi="Book Antiqua"/>
        </w:rPr>
        <w:t xml:space="preserve">en el rango </w:t>
      </w:r>
      <w:r w:rsidR="003D4727" w:rsidRPr="008D2F41">
        <w:rPr>
          <w:rFonts w:ascii="Book Antiqua" w:hAnsi="Book Antiqua"/>
        </w:rPr>
        <w:t xml:space="preserve">de 10 </w:t>
      </w:r>
      <w:r w:rsidRPr="008D2F41">
        <w:rPr>
          <w:rFonts w:ascii="Book Antiqua" w:hAnsi="Book Antiqua"/>
        </w:rPr>
        <w:t>a 15 días.</w:t>
      </w:r>
    </w:p>
    <w:p w14:paraId="598D2039" w14:textId="77777777" w:rsidR="00B979AE" w:rsidRDefault="00B979AE" w:rsidP="00B979AE">
      <w:pPr>
        <w:pStyle w:val="Prrafodelista"/>
        <w:spacing w:line="276" w:lineRule="auto"/>
        <w:ind w:left="360"/>
        <w:jc w:val="both"/>
        <w:rPr>
          <w:rFonts w:ascii="Book Antiqua" w:hAnsi="Book Antiqua"/>
        </w:rPr>
      </w:pPr>
    </w:p>
    <w:p w14:paraId="161A1DE0" w14:textId="77777777" w:rsidR="00B979AE" w:rsidRPr="00152FDE" w:rsidRDefault="00B979AE" w:rsidP="009C259C">
      <w:pPr>
        <w:pStyle w:val="Prrafodelista"/>
        <w:numPr>
          <w:ilvl w:val="1"/>
          <w:numId w:val="1"/>
        </w:numPr>
        <w:spacing w:line="276" w:lineRule="auto"/>
        <w:jc w:val="both"/>
        <w:rPr>
          <w:rFonts w:ascii="Book Antiqua" w:hAnsi="Book Antiqua"/>
          <w:b/>
          <w:bCs/>
        </w:rPr>
      </w:pPr>
      <w:r w:rsidRPr="00152FDE">
        <w:rPr>
          <w:rFonts w:ascii="Book Antiqua" w:hAnsi="Book Antiqua"/>
          <w:b/>
          <w:bCs/>
        </w:rPr>
        <w:t xml:space="preserve">Categoría Operacional </w:t>
      </w:r>
    </w:p>
    <w:p w14:paraId="02F8D4D3" w14:textId="157FC90F" w:rsidR="00B979AE" w:rsidRDefault="00B979AE" w:rsidP="009C259C">
      <w:pPr>
        <w:pStyle w:val="Prrafodelista"/>
        <w:numPr>
          <w:ilvl w:val="0"/>
          <w:numId w:val="13"/>
        </w:numPr>
        <w:spacing w:line="276" w:lineRule="auto"/>
        <w:ind w:left="284"/>
        <w:jc w:val="both"/>
        <w:rPr>
          <w:rFonts w:ascii="Book Antiqua" w:hAnsi="Book Antiqua"/>
        </w:rPr>
      </w:pPr>
      <w:r w:rsidRPr="00152FDE">
        <w:rPr>
          <w:rFonts w:ascii="Book Antiqua" w:hAnsi="Book Antiqua"/>
        </w:rPr>
        <w:t xml:space="preserve">Cantidad de expedientes pendientes de fallo, se realiza la modificación en el parámetro en el que se considera el retraso de dos </w:t>
      </w:r>
      <w:r w:rsidRPr="00113FD1">
        <w:rPr>
          <w:rFonts w:ascii="Book Antiqua" w:hAnsi="Book Antiqua"/>
        </w:rPr>
        <w:t>meses</w:t>
      </w:r>
      <w:r w:rsidR="007C6D5E" w:rsidRPr="005A7932">
        <w:rPr>
          <w:rFonts w:ascii="Book Antiqua" w:hAnsi="Book Antiqua"/>
        </w:rPr>
        <w:t xml:space="preserve"> como estándar</w:t>
      </w:r>
      <w:r w:rsidRPr="005A7932">
        <w:rPr>
          <w:rFonts w:ascii="Book Antiqua" w:hAnsi="Book Antiqua"/>
        </w:rPr>
        <w:t>,</w:t>
      </w:r>
      <w:r>
        <w:rPr>
          <w:rFonts w:ascii="Book Antiqua" w:hAnsi="Book Antiqua"/>
        </w:rPr>
        <w:t xml:space="preserve"> con una cuota de 17 asuntos por persona juzgadora, se detalla la cuota establecida por materia civil y laboral (ver apartado </w:t>
      </w:r>
      <w:r w:rsidR="00CE02AD">
        <w:rPr>
          <w:rFonts w:ascii="Book Antiqua" w:hAnsi="Book Antiqua"/>
        </w:rPr>
        <w:t>4.1. Distribución de cuota de trabajo para personal juzgador</w:t>
      </w:r>
      <w:r>
        <w:rPr>
          <w:rFonts w:ascii="Book Antiqua" w:hAnsi="Book Antiqua"/>
        </w:rPr>
        <w:t>).</w:t>
      </w:r>
    </w:p>
    <w:p w14:paraId="416F6033" w14:textId="4594AF1D" w:rsidR="00972EBC" w:rsidRPr="00152FDE" w:rsidRDefault="00972EBC" w:rsidP="009C259C">
      <w:pPr>
        <w:pStyle w:val="Prrafodelista"/>
        <w:numPr>
          <w:ilvl w:val="0"/>
          <w:numId w:val="13"/>
        </w:numPr>
        <w:spacing w:line="276" w:lineRule="auto"/>
        <w:ind w:left="284"/>
        <w:jc w:val="both"/>
        <w:rPr>
          <w:rFonts w:ascii="Book Antiqua" w:hAnsi="Book Antiqua"/>
        </w:rPr>
      </w:pPr>
      <w:r w:rsidRPr="00152FDE">
        <w:rPr>
          <w:rFonts w:ascii="Book Antiqua" w:hAnsi="Book Antiqua"/>
        </w:rPr>
        <w:t xml:space="preserve">En el indicador de cantidad de sentencias dictadas se incorpora la cuota por materia según lo definido en el presente informe apartado </w:t>
      </w:r>
      <w:r>
        <w:rPr>
          <w:rFonts w:ascii="Book Antiqua" w:hAnsi="Book Antiqua"/>
        </w:rPr>
        <w:t xml:space="preserve">4.1. </w:t>
      </w:r>
      <w:r w:rsidR="007C6D5E">
        <w:rPr>
          <w:rFonts w:ascii="Book Antiqua" w:hAnsi="Book Antiqua"/>
        </w:rPr>
        <w:t>Actualización de la d</w:t>
      </w:r>
      <w:r>
        <w:rPr>
          <w:rFonts w:ascii="Book Antiqua" w:hAnsi="Book Antiqua"/>
        </w:rPr>
        <w:t>istribución de cuota de trabajo para personal juzgador</w:t>
      </w:r>
      <w:r w:rsidRPr="00152FDE">
        <w:rPr>
          <w:rFonts w:ascii="Book Antiqua" w:hAnsi="Book Antiqua"/>
        </w:rPr>
        <w:t>.</w:t>
      </w:r>
    </w:p>
    <w:p w14:paraId="68CA5140" w14:textId="77777777" w:rsidR="00972EBC" w:rsidRDefault="00972EBC" w:rsidP="00972EBC">
      <w:pPr>
        <w:pStyle w:val="gestion"/>
        <w:spacing w:before="0" w:after="0" w:line="276" w:lineRule="auto"/>
        <w:ind w:left="0" w:right="0" w:firstLine="0"/>
        <w:rPr>
          <w:rFonts w:ascii="Book Antiqua" w:hAnsi="Book Antiqua"/>
          <w:color w:val="000000" w:themeColor="text1"/>
          <w:sz w:val="24"/>
          <w:szCs w:val="24"/>
          <w:lang w:val="es-CR"/>
        </w:rPr>
      </w:pPr>
    </w:p>
    <w:p w14:paraId="349C0474" w14:textId="217C5065" w:rsidR="00972EBC" w:rsidRDefault="00972EBC" w:rsidP="00972EBC">
      <w:pPr>
        <w:pStyle w:val="gestion"/>
        <w:spacing w:before="0" w:after="0" w:line="276" w:lineRule="auto"/>
        <w:ind w:left="0" w:right="0" w:firstLine="0"/>
        <w:rPr>
          <w:rFonts w:ascii="Book Antiqua" w:hAnsi="Book Antiqua"/>
          <w:color w:val="000000" w:themeColor="text1"/>
          <w:sz w:val="22"/>
          <w:szCs w:val="22"/>
          <w:lang w:val="es-CR"/>
        </w:rPr>
      </w:pPr>
      <w:r w:rsidRPr="00E6057F">
        <w:rPr>
          <w:rFonts w:ascii="Book Antiqua" w:hAnsi="Book Antiqua"/>
          <w:color w:val="000000" w:themeColor="text1"/>
          <w:sz w:val="22"/>
          <w:szCs w:val="22"/>
          <w:lang w:val="es-CR"/>
        </w:rPr>
        <w:t>A continuación, se adjunta la propuesta de las matrices de Indicadores de Gestión</w:t>
      </w:r>
      <w:r w:rsidR="00860577" w:rsidRPr="00E6057F">
        <w:rPr>
          <w:rFonts w:ascii="Book Antiqua" w:hAnsi="Book Antiqua"/>
          <w:color w:val="000000" w:themeColor="text1"/>
          <w:sz w:val="22"/>
          <w:szCs w:val="22"/>
          <w:lang w:val="es-CR"/>
        </w:rPr>
        <w:t>, como ejemplo se muestra la del Tribunal de Apelación Civil y Trabajo de Puntarenas</w:t>
      </w:r>
      <w:r w:rsidR="005E3118" w:rsidRPr="00E6057F">
        <w:rPr>
          <w:rFonts w:ascii="Book Antiqua" w:hAnsi="Book Antiqua"/>
          <w:color w:val="000000" w:themeColor="text1"/>
          <w:sz w:val="22"/>
          <w:szCs w:val="22"/>
          <w:lang w:val="es-CR"/>
        </w:rPr>
        <w:t xml:space="preserve">: </w:t>
      </w:r>
    </w:p>
    <w:p w14:paraId="3924F0BC" w14:textId="59341F0F" w:rsidR="00ED5C64" w:rsidRDefault="00ED5C64" w:rsidP="00972EBC">
      <w:pPr>
        <w:pStyle w:val="gestion"/>
        <w:spacing w:before="0" w:after="0" w:line="276" w:lineRule="auto"/>
        <w:ind w:left="0" w:right="0" w:firstLine="0"/>
        <w:rPr>
          <w:rFonts w:ascii="Book Antiqua" w:hAnsi="Book Antiqua"/>
          <w:color w:val="000000" w:themeColor="text1"/>
          <w:sz w:val="22"/>
          <w:szCs w:val="22"/>
          <w:lang w:val="es-CR"/>
        </w:rPr>
      </w:pPr>
    </w:p>
    <w:p w14:paraId="3F985638" w14:textId="52307F07" w:rsidR="00ED5C64" w:rsidRDefault="00ED5C64">
      <w:pPr>
        <w:rPr>
          <w:rFonts w:ascii="Book Antiqua" w:hAnsi="Book Antiqua"/>
          <w:color w:val="000000" w:themeColor="text1"/>
          <w:lang w:eastAsia="ar-SA"/>
        </w:rPr>
      </w:pPr>
      <w:r>
        <w:rPr>
          <w:rFonts w:ascii="Book Antiqua" w:hAnsi="Book Antiqua"/>
          <w:color w:val="000000" w:themeColor="text1"/>
        </w:rPr>
        <w:br w:type="page"/>
      </w:r>
    </w:p>
    <w:p w14:paraId="1ECB1C13" w14:textId="1F67BF14" w:rsidR="00291498" w:rsidRDefault="006036E6">
      <w:pPr>
        <w:spacing w:line="276" w:lineRule="auto"/>
        <w:jc w:val="center"/>
        <w:rPr>
          <w:rFonts w:ascii="Book Antiqua" w:hAnsi="Book Antiqua"/>
          <w:b/>
          <w:bCs/>
        </w:rPr>
      </w:pPr>
      <w:r w:rsidRPr="007A31C0">
        <w:rPr>
          <w:rFonts w:ascii="Book Antiqua" w:hAnsi="Book Antiqua"/>
          <w:b/>
        </w:rPr>
        <w:t xml:space="preserve">Imagen 2. Matriz Indicadores de Gestión Tribunal de Apelación </w:t>
      </w:r>
      <w:r w:rsidR="000D5922" w:rsidRPr="007A31C0">
        <w:rPr>
          <w:rFonts w:ascii="Book Antiqua" w:hAnsi="Book Antiqua"/>
          <w:b/>
        </w:rPr>
        <w:t>Civil y Laboral Puntarena</w:t>
      </w:r>
      <w:r w:rsidR="000D5922">
        <w:rPr>
          <w:rFonts w:ascii="Book Antiqua" w:hAnsi="Book Antiqua"/>
          <w:b/>
          <w:bCs/>
        </w:rPr>
        <w:t>s</w:t>
      </w:r>
    </w:p>
    <w:tbl>
      <w:tblPr>
        <w:tblW w:w="5000"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845"/>
        <w:gridCol w:w="318"/>
        <w:gridCol w:w="886"/>
        <w:gridCol w:w="1519"/>
        <w:gridCol w:w="850"/>
        <w:gridCol w:w="849"/>
        <w:gridCol w:w="1015"/>
        <w:gridCol w:w="324"/>
        <w:gridCol w:w="371"/>
        <w:gridCol w:w="407"/>
        <w:gridCol w:w="319"/>
        <w:gridCol w:w="354"/>
        <w:gridCol w:w="312"/>
        <w:gridCol w:w="439"/>
      </w:tblGrid>
      <w:tr w:rsidR="00390FF5" w:rsidRPr="003D387C" w14:paraId="6A69FCE3" w14:textId="77777777" w:rsidTr="009C513B">
        <w:trPr>
          <w:trHeight w:val="1165"/>
        </w:trPr>
        <w:tc>
          <w:tcPr>
            <w:tcW w:w="5000" w:type="pct"/>
            <w:gridSpan w:val="14"/>
            <w:shd w:val="clear" w:color="auto" w:fill="auto"/>
            <w:noWrap/>
            <w:vAlign w:val="bottom"/>
            <w:hideMark/>
          </w:tcPr>
          <w:p w14:paraId="1A7FDEBA" w14:textId="09863670" w:rsidR="001A6E91" w:rsidRPr="004B6036" w:rsidRDefault="001A6E91" w:rsidP="001A6E91">
            <w:pPr>
              <w:spacing w:after="0" w:line="240" w:lineRule="auto"/>
              <w:rPr>
                <w:rFonts w:ascii="Calibri" w:eastAsia="Times New Roman" w:hAnsi="Calibri" w:cs="Calibri"/>
                <w:color w:val="000000"/>
                <w:sz w:val="12"/>
                <w:szCs w:val="12"/>
                <w:lang w:eastAsia="es-CR"/>
              </w:rPr>
            </w:pPr>
            <w:r w:rsidRPr="004B6036">
              <w:rPr>
                <w:rFonts w:ascii="Calibri" w:eastAsia="Times New Roman" w:hAnsi="Calibri" w:cs="Calibri"/>
                <w:noProof/>
                <w:color w:val="000000"/>
                <w:sz w:val="12"/>
                <w:szCs w:val="12"/>
                <w:lang w:eastAsia="es-CR"/>
              </w:rPr>
              <w:drawing>
                <wp:anchor distT="0" distB="0" distL="114300" distR="114300" simplePos="0" relativeHeight="251658244" behindDoc="0" locked="0" layoutInCell="1" allowOverlap="1" wp14:anchorId="0F856F65" wp14:editId="14B1F164">
                  <wp:simplePos x="0" y="0"/>
                  <wp:positionH relativeFrom="column">
                    <wp:posOffset>146050</wp:posOffset>
                  </wp:positionH>
                  <wp:positionV relativeFrom="paragraph">
                    <wp:posOffset>69850</wp:posOffset>
                  </wp:positionV>
                  <wp:extent cx="1339850" cy="800100"/>
                  <wp:effectExtent l="0" t="0" r="0" b="0"/>
                  <wp:wrapNone/>
                  <wp:docPr id="3" name="Imagen 3">
                    <a:extLst xmlns:a="http://schemas.openxmlformats.org/drawingml/2006/main">
                      <a:ext uri="{63B3BB69-23CF-44E3-9099-C40C66FF867C}">
                        <a14:compatExt xmlns:a14="http://schemas.microsoft.com/office/drawing/2010/main" spid="_x0000_s2056"/>
                      </a:ext>
                      <a:ext uri="{FF2B5EF4-FFF2-40B4-BE49-F238E27FC236}">
                        <a16:creationId xmlns:a16="http://schemas.microsoft.com/office/drawing/2014/main" id="{00000000-0008-0000-0000-000008080000}"/>
                      </a:ext>
                    </a:extLst>
                  </wp:docPr>
                  <wp:cNvGraphicFramePr/>
                  <a:graphic xmlns:a="http://schemas.openxmlformats.org/drawingml/2006/main">
                    <a:graphicData uri="http://schemas.openxmlformats.org/drawingml/2006/picture">
                      <pic:pic xmlns:pic="http://schemas.openxmlformats.org/drawingml/2006/picture">
                        <pic:nvPicPr>
                          <pic:cNvPr id="2" name="Picture 6">
                            <a:extLst>
                              <a:ext uri="{63B3BB69-23CF-44E3-9099-C40C66FF867C}">
                                <a14:compatExt xmlns:a14="http://schemas.microsoft.com/office/drawing/2010/main" spid="_x0000_s2056"/>
                              </a:ext>
                              <a:ext uri="{FF2B5EF4-FFF2-40B4-BE49-F238E27FC236}">
                                <a16:creationId xmlns:a16="http://schemas.microsoft.com/office/drawing/2014/main" id="{00000000-0008-0000-0000-000008080000}"/>
                              </a:ext>
                            </a:extLst>
                          </pic:cNvPr>
                          <pic:cNvPicPr>
                            <a:picLocks noChangeAspect="1"/>
                          </pic:cNvPicPr>
                        </pic:nvPicPr>
                        <pic:blipFill>
                          <a:blip r:embed="rId17"/>
                          <a:stretch>
                            <a:fillRect/>
                          </a:stretch>
                        </pic:blipFill>
                        <pic:spPr>
                          <a:xfrm>
                            <a:off x="0" y="0"/>
                            <a:ext cx="1345406" cy="800100"/>
                          </a:xfrm>
                          <a:prstGeom prst="rect">
                            <a:avLst/>
                          </a:prstGeom>
                        </pic:spPr>
                      </pic:pic>
                    </a:graphicData>
                  </a:graphic>
                  <wp14:sizeRelH relativeFrom="page">
                    <wp14:pctWidth>0</wp14:pctWidth>
                  </wp14:sizeRelH>
                  <wp14:sizeRelV relativeFrom="page">
                    <wp14:pctHeight>0</wp14:pctHeight>
                  </wp14:sizeRelV>
                </wp:anchor>
              </w:drawing>
            </w:r>
            <w:r w:rsidRPr="004B6036">
              <w:rPr>
                <w:rFonts w:ascii="Calibri" w:eastAsia="Times New Roman" w:hAnsi="Calibri" w:cs="Calibri"/>
                <w:noProof/>
                <w:color w:val="000000"/>
                <w:sz w:val="12"/>
                <w:szCs w:val="12"/>
                <w:lang w:eastAsia="es-CR"/>
              </w:rPr>
              <w:drawing>
                <wp:anchor distT="0" distB="0" distL="114300" distR="114300" simplePos="0" relativeHeight="251658245" behindDoc="0" locked="0" layoutInCell="1" allowOverlap="1" wp14:anchorId="0D0F2EB7" wp14:editId="4BD90BDA">
                  <wp:simplePos x="0" y="0"/>
                  <wp:positionH relativeFrom="column">
                    <wp:posOffset>10121900</wp:posOffset>
                  </wp:positionH>
                  <wp:positionV relativeFrom="paragraph">
                    <wp:posOffset>25400</wp:posOffset>
                  </wp:positionV>
                  <wp:extent cx="1727200" cy="850900"/>
                  <wp:effectExtent l="0" t="0" r="6350" b="6350"/>
                  <wp:wrapNone/>
                  <wp:docPr id="1" name="Imagen 1">
                    <a:extLst xmlns:a="http://schemas.openxmlformats.org/drawingml/2006/main">
                      <a:ext uri="{63B3BB69-23CF-44E3-9099-C40C66FF867C}">
                        <a14:compatExt xmlns:a14="http://schemas.microsoft.com/office/drawing/2010/main" spid="_x0000_s2057"/>
                      </a:ext>
                      <a:ext uri="{FF2B5EF4-FFF2-40B4-BE49-F238E27FC236}">
                        <a16:creationId xmlns:a16="http://schemas.microsoft.com/office/drawing/2014/main" id="{00000000-0008-0000-0000-000009080000}"/>
                      </a:ext>
                    </a:extLst>
                  </wp:docPr>
                  <wp:cNvGraphicFramePr/>
                  <a:graphic xmlns:a="http://schemas.openxmlformats.org/drawingml/2006/main">
                    <a:graphicData uri="http://schemas.openxmlformats.org/drawingml/2006/picture">
                      <pic:pic xmlns:pic="http://schemas.openxmlformats.org/drawingml/2006/picture">
                        <pic:nvPicPr>
                          <pic:cNvPr id="2" name="Picture 7">
                            <a:extLst>
                              <a:ext uri="{63B3BB69-23CF-44E3-9099-C40C66FF867C}">
                                <a14:compatExt xmlns:a14="http://schemas.microsoft.com/office/drawing/2010/main" spid="_x0000_s2057"/>
                              </a:ext>
                              <a:ext uri="{FF2B5EF4-FFF2-40B4-BE49-F238E27FC236}">
                                <a16:creationId xmlns:a16="http://schemas.microsoft.com/office/drawing/2014/main" id="{00000000-0008-0000-0000-000009080000}"/>
                              </a:ext>
                            </a:extLst>
                          </pic:cNvPr>
                          <pic:cNvPicPr>
                            <a:picLocks noChangeAspect="1"/>
                          </pic:cNvPicPr>
                        </pic:nvPicPr>
                        <pic:blipFill>
                          <a:blip r:embed="rId18"/>
                          <a:stretch>
                            <a:fillRect/>
                          </a:stretch>
                        </pic:blipFill>
                        <pic:spPr>
                          <a:xfrm>
                            <a:off x="0" y="0"/>
                            <a:ext cx="1719262" cy="847725"/>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668"/>
            </w:tblGrid>
            <w:tr w:rsidR="001A6E91" w:rsidRPr="003D387C" w14:paraId="5622D072" w14:textId="77777777">
              <w:trPr>
                <w:trHeight w:val="1395"/>
                <w:tblCellSpacing w:w="0" w:type="dxa"/>
              </w:trPr>
              <w:tc>
                <w:tcPr>
                  <w:tcW w:w="18960" w:type="dxa"/>
                  <w:tcBorders>
                    <w:top w:val="nil"/>
                    <w:left w:val="nil"/>
                    <w:bottom w:val="nil"/>
                    <w:right w:val="nil"/>
                  </w:tcBorders>
                  <w:shd w:val="clear" w:color="C0C0C0" w:fill="1F4E78"/>
                  <w:vAlign w:val="center"/>
                  <w:hideMark/>
                </w:tcPr>
                <w:p w14:paraId="36903A8C" w14:textId="77777777" w:rsidR="001A6E91" w:rsidRPr="004B6036" w:rsidRDefault="001A6E91" w:rsidP="001A6E91">
                  <w:pPr>
                    <w:spacing w:after="0" w:line="240" w:lineRule="auto"/>
                    <w:jc w:val="center"/>
                    <w:rPr>
                      <w:rFonts w:ascii="Cambria" w:eastAsia="Times New Roman" w:hAnsi="Cambria" w:cs="Calibri"/>
                      <w:b/>
                      <w:bCs/>
                      <w:color w:val="FFFFFF"/>
                      <w:sz w:val="12"/>
                      <w:szCs w:val="12"/>
                      <w:lang w:eastAsia="es-CR"/>
                    </w:rPr>
                  </w:pPr>
                  <w:r w:rsidRPr="004B6036">
                    <w:rPr>
                      <w:rFonts w:ascii="Cambria" w:eastAsia="Times New Roman" w:hAnsi="Cambria" w:cs="Calibri"/>
                      <w:b/>
                      <w:bCs/>
                      <w:color w:val="FFFFFF"/>
                      <w:sz w:val="12"/>
                      <w:szCs w:val="12"/>
                      <w:lang w:eastAsia="es-CR"/>
                    </w:rPr>
                    <w:t xml:space="preserve">Tribunal de Apelaciones de Puntarenas </w:t>
                  </w:r>
                  <w:r w:rsidRPr="004B6036">
                    <w:rPr>
                      <w:rFonts w:ascii="Cambria" w:eastAsia="Times New Roman" w:hAnsi="Cambria" w:cs="Calibri"/>
                      <w:b/>
                      <w:bCs/>
                      <w:color w:val="FFFFFF"/>
                      <w:sz w:val="12"/>
                      <w:szCs w:val="12"/>
                      <w:lang w:eastAsia="es-CR"/>
                    </w:rPr>
                    <w:br/>
                    <w:t>Materias Civil y Laboral</w:t>
                  </w:r>
                </w:p>
              </w:tc>
            </w:tr>
          </w:tbl>
          <w:p w14:paraId="10A3791D" w14:textId="77777777" w:rsidR="001A6E91" w:rsidRPr="004B6036" w:rsidRDefault="001A6E91" w:rsidP="001A6E91">
            <w:pPr>
              <w:spacing w:after="0" w:line="240" w:lineRule="auto"/>
              <w:rPr>
                <w:rFonts w:ascii="Calibri" w:eastAsia="Times New Roman" w:hAnsi="Calibri" w:cs="Calibri"/>
                <w:color w:val="000000"/>
                <w:sz w:val="12"/>
                <w:szCs w:val="12"/>
                <w:lang w:eastAsia="es-CR"/>
              </w:rPr>
            </w:pPr>
          </w:p>
        </w:tc>
      </w:tr>
      <w:tr w:rsidR="00390FF5" w:rsidRPr="003D387C" w14:paraId="44EACF3E" w14:textId="77777777" w:rsidTr="009C513B">
        <w:trPr>
          <w:trHeight w:val="451"/>
        </w:trPr>
        <w:tc>
          <w:tcPr>
            <w:tcW w:w="5000" w:type="pct"/>
            <w:gridSpan w:val="14"/>
            <w:shd w:val="clear" w:color="auto" w:fill="auto"/>
            <w:vAlign w:val="center"/>
            <w:hideMark/>
          </w:tcPr>
          <w:p w14:paraId="7F1788DF" w14:textId="77777777" w:rsidR="001A6E91" w:rsidRPr="004B6036" w:rsidRDefault="001A6E91" w:rsidP="001A6E91">
            <w:pPr>
              <w:spacing w:after="0" w:line="240" w:lineRule="auto"/>
              <w:jc w:val="center"/>
              <w:rPr>
                <w:rFonts w:ascii="Cambria" w:eastAsia="Times New Roman" w:hAnsi="Cambria" w:cs="Calibri"/>
                <w:b/>
                <w:bCs/>
                <w:color w:val="1F4E78"/>
                <w:sz w:val="12"/>
                <w:szCs w:val="12"/>
                <w:lang w:eastAsia="es-CR"/>
              </w:rPr>
            </w:pPr>
            <w:r w:rsidRPr="004B6036">
              <w:rPr>
                <w:rFonts w:ascii="Cambria" w:eastAsia="Times New Roman" w:hAnsi="Cambria" w:cs="Calibri"/>
                <w:b/>
                <w:bCs/>
                <w:color w:val="1F4E78"/>
                <w:sz w:val="12"/>
                <w:szCs w:val="12"/>
                <w:lang w:eastAsia="es-CR"/>
              </w:rPr>
              <w:t>INDICADORES DE GESTIÓN - DIRECCIÓN DE PLANIFICACIÓN</w:t>
            </w:r>
          </w:p>
        </w:tc>
      </w:tr>
      <w:tr w:rsidR="00390FF5" w:rsidRPr="003D387C" w14:paraId="249ED198" w14:textId="77777777" w:rsidTr="00390FF5">
        <w:trPr>
          <w:trHeight w:val="315"/>
        </w:trPr>
        <w:tc>
          <w:tcPr>
            <w:tcW w:w="5000" w:type="pct"/>
            <w:gridSpan w:val="14"/>
            <w:shd w:val="clear" w:color="FFCC00" w:fill="DDEBF7"/>
            <w:noWrap/>
            <w:vAlign w:val="center"/>
            <w:hideMark/>
          </w:tcPr>
          <w:p w14:paraId="7F1D5DA7" w14:textId="77777777" w:rsidR="001A6E91" w:rsidRPr="004B6036" w:rsidRDefault="001A6E91" w:rsidP="001A6E91">
            <w:pPr>
              <w:spacing w:after="0" w:line="240" w:lineRule="auto"/>
              <w:jc w:val="center"/>
              <w:rPr>
                <w:rFonts w:ascii="Cambria" w:eastAsia="Times New Roman" w:hAnsi="Cambria" w:cs="Calibri"/>
                <w:b/>
                <w:bCs/>
                <w:color w:val="1F4E78"/>
                <w:sz w:val="12"/>
                <w:szCs w:val="12"/>
                <w:lang w:eastAsia="es-CR"/>
              </w:rPr>
            </w:pPr>
            <w:r w:rsidRPr="004B6036">
              <w:rPr>
                <w:rFonts w:ascii="Cambria" w:eastAsia="Times New Roman" w:hAnsi="Cambria" w:cs="Calibri"/>
                <w:b/>
                <w:bCs/>
                <w:color w:val="1F4E78"/>
                <w:sz w:val="12"/>
                <w:szCs w:val="12"/>
                <w:lang w:eastAsia="es-CR"/>
              </w:rPr>
              <w:t>Objetivo: Medir, controlar y verificar la gestión del despacho para su mejora continua.</w:t>
            </w:r>
          </w:p>
        </w:tc>
      </w:tr>
      <w:tr w:rsidR="003D387C" w:rsidRPr="003D387C" w14:paraId="10E28B8E" w14:textId="77777777" w:rsidTr="004B6036">
        <w:trPr>
          <w:trHeight w:val="300"/>
        </w:trPr>
        <w:tc>
          <w:tcPr>
            <w:tcW w:w="3629" w:type="pct"/>
            <w:gridSpan w:val="7"/>
            <w:shd w:val="clear" w:color="0066CC" w:fill="1F4E78"/>
            <w:noWrap/>
            <w:vAlign w:val="bottom"/>
            <w:hideMark/>
          </w:tcPr>
          <w:p w14:paraId="7BDB8CDB" w14:textId="77777777" w:rsidR="001A6E91" w:rsidRPr="004B6036" w:rsidRDefault="001A6E91" w:rsidP="001A6E91">
            <w:pPr>
              <w:spacing w:after="0" w:line="240" w:lineRule="auto"/>
              <w:jc w:val="center"/>
              <w:rPr>
                <w:rFonts w:ascii="Cambria" w:eastAsia="Times New Roman" w:hAnsi="Cambria" w:cs="Calibri"/>
                <w:b/>
                <w:bCs/>
                <w:color w:val="FFFFFF"/>
                <w:sz w:val="12"/>
                <w:szCs w:val="12"/>
                <w:lang w:eastAsia="es-CR"/>
              </w:rPr>
            </w:pPr>
            <w:r w:rsidRPr="004B6036">
              <w:rPr>
                <w:rFonts w:ascii="Cambria" w:eastAsia="Times New Roman" w:hAnsi="Cambria" w:cs="Calibri"/>
                <w:b/>
                <w:bCs/>
                <w:color w:val="FFFFFF"/>
                <w:sz w:val="12"/>
                <w:szCs w:val="12"/>
                <w:lang w:eastAsia="es-CR"/>
              </w:rPr>
              <w:t>Detalles</w:t>
            </w:r>
          </w:p>
        </w:tc>
        <w:tc>
          <w:tcPr>
            <w:tcW w:w="1371" w:type="pct"/>
            <w:gridSpan w:val="7"/>
            <w:shd w:val="clear" w:color="0066CC" w:fill="1F4E78"/>
            <w:noWrap/>
            <w:vAlign w:val="center"/>
            <w:hideMark/>
          </w:tcPr>
          <w:p w14:paraId="30B7A931" w14:textId="77777777" w:rsidR="001A6E91" w:rsidRPr="004B6036" w:rsidRDefault="001A6E91" w:rsidP="001A6E91">
            <w:pPr>
              <w:spacing w:after="0" w:line="240" w:lineRule="auto"/>
              <w:jc w:val="center"/>
              <w:rPr>
                <w:rFonts w:ascii="Cambria" w:eastAsia="Times New Roman" w:hAnsi="Cambria" w:cs="Calibri"/>
                <w:b/>
                <w:bCs/>
                <w:color w:val="FFFFFF"/>
                <w:sz w:val="12"/>
                <w:szCs w:val="12"/>
                <w:lang w:eastAsia="es-CR"/>
              </w:rPr>
            </w:pPr>
            <w:r w:rsidRPr="004B6036">
              <w:rPr>
                <w:rFonts w:ascii="Cambria" w:eastAsia="Times New Roman" w:hAnsi="Cambria" w:cs="Calibri"/>
                <w:b/>
                <w:bCs/>
                <w:color w:val="FFFFFF"/>
                <w:sz w:val="12"/>
                <w:szCs w:val="12"/>
                <w:lang w:eastAsia="es-CR"/>
              </w:rPr>
              <w:t>Rangos</w:t>
            </w:r>
          </w:p>
        </w:tc>
      </w:tr>
      <w:tr w:rsidR="00407399" w:rsidRPr="003D387C" w14:paraId="7DEE8218" w14:textId="77777777" w:rsidTr="00390FF5">
        <w:trPr>
          <w:trHeight w:val="250"/>
        </w:trPr>
        <w:tc>
          <w:tcPr>
            <w:tcW w:w="507" w:type="pct"/>
            <w:shd w:val="clear" w:color="9999FF" w:fill="C0C0C0"/>
            <w:noWrap/>
            <w:vAlign w:val="center"/>
            <w:hideMark/>
          </w:tcPr>
          <w:p w14:paraId="5E107664"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Categoría</w:t>
            </w:r>
          </w:p>
        </w:tc>
        <w:tc>
          <w:tcPr>
            <w:tcW w:w="208" w:type="pct"/>
            <w:shd w:val="clear" w:color="9999FF" w:fill="C0C0C0"/>
            <w:noWrap/>
            <w:vAlign w:val="center"/>
            <w:hideMark/>
          </w:tcPr>
          <w:p w14:paraId="389AAFD2"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N°</w:t>
            </w:r>
          </w:p>
        </w:tc>
        <w:tc>
          <w:tcPr>
            <w:tcW w:w="530" w:type="pct"/>
            <w:shd w:val="clear" w:color="9999FF" w:fill="C0C0C0"/>
            <w:noWrap/>
            <w:vAlign w:val="center"/>
            <w:hideMark/>
          </w:tcPr>
          <w:p w14:paraId="2157EECC"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Indicadores</w:t>
            </w:r>
          </w:p>
        </w:tc>
        <w:tc>
          <w:tcPr>
            <w:tcW w:w="889" w:type="pct"/>
            <w:shd w:val="clear" w:color="9999FF" w:fill="C0C0C0"/>
            <w:noWrap/>
            <w:vAlign w:val="center"/>
            <w:hideMark/>
          </w:tcPr>
          <w:p w14:paraId="4570C3FA"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Métricas</w:t>
            </w:r>
          </w:p>
        </w:tc>
        <w:tc>
          <w:tcPr>
            <w:tcW w:w="427" w:type="pct"/>
            <w:shd w:val="clear" w:color="9999FF" w:fill="C0C0C0"/>
            <w:noWrap/>
            <w:vAlign w:val="center"/>
            <w:hideMark/>
          </w:tcPr>
          <w:p w14:paraId="121B2CAF"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Periodicidad</w:t>
            </w:r>
          </w:p>
        </w:tc>
        <w:tc>
          <w:tcPr>
            <w:tcW w:w="465" w:type="pct"/>
            <w:shd w:val="clear" w:color="9999FF" w:fill="C0C0C0"/>
            <w:noWrap/>
            <w:vAlign w:val="center"/>
            <w:hideMark/>
          </w:tcPr>
          <w:p w14:paraId="378DE767"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Responsable</w:t>
            </w:r>
          </w:p>
        </w:tc>
        <w:tc>
          <w:tcPr>
            <w:tcW w:w="603" w:type="pct"/>
            <w:shd w:val="clear" w:color="9999FF" w:fill="C0C0C0"/>
            <w:noWrap/>
            <w:vAlign w:val="center"/>
            <w:hideMark/>
          </w:tcPr>
          <w:p w14:paraId="59F32C3D"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Comentarios</w:t>
            </w:r>
          </w:p>
        </w:tc>
        <w:tc>
          <w:tcPr>
            <w:tcW w:w="382" w:type="pct"/>
            <w:gridSpan w:val="2"/>
            <w:shd w:val="clear" w:color="993300" w:fill="FF0000"/>
            <w:noWrap/>
            <w:vAlign w:val="center"/>
            <w:hideMark/>
          </w:tcPr>
          <w:p w14:paraId="60F5077C" w14:textId="77777777" w:rsidR="001A6E91" w:rsidRPr="004B6036" w:rsidRDefault="001A6E91" w:rsidP="001A6E91">
            <w:pPr>
              <w:spacing w:after="0" w:line="240" w:lineRule="auto"/>
              <w:jc w:val="center"/>
              <w:rPr>
                <w:rFonts w:ascii="Cambria" w:eastAsia="Times New Roman" w:hAnsi="Cambria" w:cs="Calibri"/>
                <w:b/>
                <w:bCs/>
                <w:color w:val="FFFFFF"/>
                <w:sz w:val="12"/>
                <w:szCs w:val="12"/>
                <w:lang w:eastAsia="es-CR"/>
              </w:rPr>
            </w:pPr>
            <w:r w:rsidRPr="004B6036">
              <w:rPr>
                <w:rFonts w:ascii="Cambria" w:eastAsia="Times New Roman" w:hAnsi="Cambria" w:cs="Calibri"/>
                <w:b/>
                <w:bCs/>
                <w:color w:val="FFFFFF"/>
                <w:sz w:val="12"/>
                <w:szCs w:val="12"/>
                <w:lang w:eastAsia="es-CR"/>
              </w:rPr>
              <w:t>A mejorar</w:t>
            </w:r>
          </w:p>
        </w:tc>
        <w:tc>
          <w:tcPr>
            <w:tcW w:w="609" w:type="pct"/>
            <w:gridSpan w:val="3"/>
            <w:shd w:val="clear" w:color="FFFF00" w:fill="FFCC00"/>
            <w:noWrap/>
            <w:vAlign w:val="center"/>
            <w:hideMark/>
          </w:tcPr>
          <w:p w14:paraId="332D0C65"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Estándar</w:t>
            </w:r>
          </w:p>
        </w:tc>
        <w:tc>
          <w:tcPr>
            <w:tcW w:w="379" w:type="pct"/>
            <w:gridSpan w:val="2"/>
            <w:shd w:val="clear" w:color="008080" w:fill="008000"/>
            <w:noWrap/>
            <w:vAlign w:val="center"/>
            <w:hideMark/>
          </w:tcPr>
          <w:p w14:paraId="62414B31" w14:textId="77777777" w:rsidR="001A6E91" w:rsidRPr="004B6036" w:rsidRDefault="001A6E91" w:rsidP="001A6E91">
            <w:pPr>
              <w:spacing w:after="0" w:line="240" w:lineRule="auto"/>
              <w:jc w:val="center"/>
              <w:rPr>
                <w:rFonts w:ascii="Cambria" w:eastAsia="Times New Roman" w:hAnsi="Cambria" w:cs="Calibri"/>
                <w:b/>
                <w:bCs/>
                <w:color w:val="FFFFFF"/>
                <w:sz w:val="12"/>
                <w:szCs w:val="12"/>
                <w:lang w:eastAsia="es-CR"/>
              </w:rPr>
            </w:pPr>
            <w:r w:rsidRPr="004B6036">
              <w:rPr>
                <w:rFonts w:ascii="Cambria" w:eastAsia="Times New Roman" w:hAnsi="Cambria" w:cs="Calibri"/>
                <w:b/>
                <w:bCs/>
                <w:color w:val="FFFFFF"/>
                <w:sz w:val="12"/>
                <w:szCs w:val="12"/>
                <w:lang w:eastAsia="es-CR"/>
              </w:rPr>
              <w:t>Muy bueno</w:t>
            </w:r>
          </w:p>
        </w:tc>
      </w:tr>
      <w:tr w:rsidR="00390FF5" w:rsidRPr="003D387C" w14:paraId="1D745686" w14:textId="77777777" w:rsidTr="00390FF5">
        <w:trPr>
          <w:trHeight w:val="750"/>
        </w:trPr>
        <w:tc>
          <w:tcPr>
            <w:tcW w:w="507" w:type="pct"/>
            <w:vMerge w:val="restart"/>
            <w:shd w:val="clear" w:color="FF9900" w:fill="1F4E78"/>
            <w:textDirection w:val="btLr"/>
            <w:vAlign w:val="center"/>
            <w:hideMark/>
          </w:tcPr>
          <w:p w14:paraId="4201D71E" w14:textId="77777777" w:rsidR="001A6E91" w:rsidRPr="004B6036" w:rsidRDefault="001A6E91" w:rsidP="001A6E91">
            <w:pPr>
              <w:spacing w:after="0" w:line="240" w:lineRule="auto"/>
              <w:jc w:val="center"/>
              <w:rPr>
                <w:rFonts w:ascii="Cambria" w:eastAsia="Times New Roman" w:hAnsi="Cambria" w:cs="Calibri"/>
                <w:b/>
                <w:bCs/>
                <w:color w:val="FFFFFF"/>
                <w:sz w:val="12"/>
                <w:szCs w:val="12"/>
                <w:lang w:eastAsia="es-CR"/>
              </w:rPr>
            </w:pPr>
            <w:r w:rsidRPr="004B6036">
              <w:rPr>
                <w:rFonts w:ascii="Cambria" w:eastAsia="Times New Roman" w:hAnsi="Cambria" w:cs="Calibri"/>
                <w:b/>
                <w:bCs/>
                <w:color w:val="FFFFFF"/>
                <w:sz w:val="12"/>
                <w:szCs w:val="12"/>
                <w:lang w:eastAsia="es-CR"/>
              </w:rPr>
              <w:t>Rendimiento Estadístico</w:t>
            </w:r>
          </w:p>
        </w:tc>
        <w:tc>
          <w:tcPr>
            <w:tcW w:w="208" w:type="pct"/>
            <w:vMerge w:val="restart"/>
            <w:shd w:val="clear" w:color="FF9900" w:fill="FFFFFF"/>
            <w:vAlign w:val="center"/>
            <w:hideMark/>
          </w:tcPr>
          <w:p w14:paraId="5BA6723D"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1</w:t>
            </w:r>
          </w:p>
        </w:tc>
        <w:tc>
          <w:tcPr>
            <w:tcW w:w="530" w:type="pct"/>
            <w:shd w:val="clear" w:color="FF9900" w:fill="FFFFFF"/>
            <w:vAlign w:val="center"/>
            <w:hideMark/>
          </w:tcPr>
          <w:p w14:paraId="1B796DEC" w14:textId="285114B6"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Entrada de asuntos nuevos</w:t>
            </w:r>
            <w:r w:rsidR="005622BE" w:rsidRPr="004B6036">
              <w:rPr>
                <w:rFonts w:ascii="Cambria" w:eastAsia="Times New Roman" w:hAnsi="Cambria" w:cs="Calibri"/>
                <w:sz w:val="12"/>
                <w:szCs w:val="12"/>
                <w:lang w:eastAsia="es-CR"/>
              </w:rPr>
              <w:t xml:space="preserve"> </w:t>
            </w:r>
          </w:p>
        </w:tc>
        <w:tc>
          <w:tcPr>
            <w:tcW w:w="889" w:type="pct"/>
            <w:shd w:val="clear" w:color="FF9900" w:fill="FFFFFF"/>
            <w:vAlign w:val="center"/>
            <w:hideMark/>
          </w:tcPr>
          <w:p w14:paraId="1C7AAF75" w14:textId="4FD36358"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Cantidad de casos entrados </w:t>
            </w:r>
          </w:p>
        </w:tc>
        <w:tc>
          <w:tcPr>
            <w:tcW w:w="427" w:type="pct"/>
            <w:shd w:val="clear" w:color="FF9900" w:fill="FFFFFF"/>
            <w:vAlign w:val="center"/>
            <w:hideMark/>
          </w:tcPr>
          <w:p w14:paraId="29A9E23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Mensual</w:t>
            </w:r>
          </w:p>
        </w:tc>
        <w:tc>
          <w:tcPr>
            <w:tcW w:w="465" w:type="pct"/>
            <w:shd w:val="clear" w:color="FF9900" w:fill="FFFFFF"/>
            <w:vAlign w:val="center"/>
            <w:hideMark/>
          </w:tcPr>
          <w:p w14:paraId="7559039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Coordinadora o Coordinador Judicial</w:t>
            </w:r>
          </w:p>
        </w:tc>
        <w:tc>
          <w:tcPr>
            <w:tcW w:w="603" w:type="pct"/>
            <w:shd w:val="clear" w:color="FF9900" w:fill="FFFFFF"/>
            <w:vAlign w:val="center"/>
            <w:hideMark/>
          </w:tcPr>
          <w:p w14:paraId="72ECACD9" w14:textId="3C981BEA" w:rsidR="001A6E91" w:rsidRPr="004B6036" w:rsidRDefault="00390FF5" w:rsidP="001A6E91">
            <w:pPr>
              <w:spacing w:after="0" w:line="240" w:lineRule="auto"/>
              <w:rPr>
                <w:rFonts w:ascii="Cambria" w:eastAsia="Times New Roman" w:hAnsi="Cambria" w:cs="Calibri"/>
                <w:sz w:val="12"/>
                <w:szCs w:val="12"/>
                <w:lang w:eastAsia="es-CR"/>
              </w:rPr>
            </w:pPr>
            <w:r w:rsidRPr="003D387C">
              <w:rPr>
                <w:rFonts w:ascii="Cambria" w:eastAsia="Times New Roman" w:hAnsi="Cambria" w:cs="Calibri"/>
                <w:sz w:val="12"/>
                <w:szCs w:val="12"/>
                <w:lang w:eastAsia="es-CR"/>
              </w:rPr>
              <w:t>Este dato</w:t>
            </w:r>
            <w:r w:rsidR="001A6E91" w:rsidRPr="004B6036">
              <w:rPr>
                <w:rFonts w:ascii="Cambria" w:eastAsia="Times New Roman" w:hAnsi="Cambria" w:cs="Calibri"/>
                <w:sz w:val="12"/>
                <w:szCs w:val="12"/>
                <w:lang w:eastAsia="es-CR"/>
              </w:rPr>
              <w:t xml:space="preserve"> se obtiene del informe de estadística. </w:t>
            </w:r>
          </w:p>
        </w:tc>
        <w:tc>
          <w:tcPr>
            <w:tcW w:w="178" w:type="pct"/>
            <w:shd w:val="clear" w:color="FF99CC" w:fill="FF8080"/>
            <w:vAlign w:val="center"/>
            <w:hideMark/>
          </w:tcPr>
          <w:p w14:paraId="7CAFE2C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029B3C4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44</w:t>
            </w:r>
          </w:p>
        </w:tc>
        <w:tc>
          <w:tcPr>
            <w:tcW w:w="213" w:type="pct"/>
            <w:shd w:val="clear" w:color="FFFFCC" w:fill="FFFF99"/>
            <w:vAlign w:val="center"/>
            <w:hideMark/>
          </w:tcPr>
          <w:p w14:paraId="1863C61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39</w:t>
            </w:r>
          </w:p>
        </w:tc>
        <w:tc>
          <w:tcPr>
            <w:tcW w:w="208" w:type="pct"/>
            <w:shd w:val="clear" w:color="FFFFCC" w:fill="FFFF99"/>
            <w:vAlign w:val="center"/>
            <w:hideMark/>
          </w:tcPr>
          <w:p w14:paraId="46B2009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35CEB61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44</w:t>
            </w:r>
          </w:p>
        </w:tc>
        <w:tc>
          <w:tcPr>
            <w:tcW w:w="157" w:type="pct"/>
            <w:shd w:val="clear" w:color="33CCCC" w:fill="C6E0B4"/>
            <w:vAlign w:val="center"/>
            <w:hideMark/>
          </w:tcPr>
          <w:p w14:paraId="562B900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vAlign w:val="center"/>
            <w:hideMark/>
          </w:tcPr>
          <w:p w14:paraId="60404A6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39</w:t>
            </w:r>
          </w:p>
        </w:tc>
      </w:tr>
      <w:tr w:rsidR="00390FF5" w:rsidRPr="003D387C" w14:paraId="4446B052" w14:textId="77777777" w:rsidTr="00390FF5">
        <w:trPr>
          <w:trHeight w:val="250"/>
        </w:trPr>
        <w:tc>
          <w:tcPr>
            <w:tcW w:w="507" w:type="pct"/>
            <w:vMerge/>
            <w:vAlign w:val="center"/>
            <w:hideMark/>
          </w:tcPr>
          <w:p w14:paraId="13281020"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02FF4D02"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shd w:val="clear" w:color="9999FF" w:fill="DDEBF7"/>
            <w:vAlign w:val="center"/>
            <w:hideMark/>
          </w:tcPr>
          <w:p w14:paraId="1739EDBE" w14:textId="77777777" w:rsidR="001A6E91" w:rsidRPr="004B6036" w:rsidRDefault="001A6E91" w:rsidP="001A6E91">
            <w:pPr>
              <w:spacing w:after="0" w:line="240" w:lineRule="auto"/>
              <w:jc w:val="right"/>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Civil </w:t>
            </w:r>
          </w:p>
        </w:tc>
        <w:tc>
          <w:tcPr>
            <w:tcW w:w="889" w:type="pct"/>
            <w:shd w:val="clear" w:color="9999FF" w:fill="DDEBF7"/>
            <w:vAlign w:val="center"/>
            <w:hideMark/>
          </w:tcPr>
          <w:p w14:paraId="2462455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27" w:type="pct"/>
            <w:shd w:val="clear" w:color="9999FF" w:fill="DDEBF7"/>
            <w:vAlign w:val="center"/>
            <w:hideMark/>
          </w:tcPr>
          <w:p w14:paraId="690B686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9999FF" w:fill="DDEBF7"/>
            <w:vAlign w:val="center"/>
            <w:hideMark/>
          </w:tcPr>
          <w:p w14:paraId="75B242E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9999FF" w:fill="DDEBF7"/>
            <w:vAlign w:val="center"/>
            <w:hideMark/>
          </w:tcPr>
          <w:p w14:paraId="52BCF321"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35C80BC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5678ECD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22</w:t>
            </w:r>
          </w:p>
        </w:tc>
        <w:tc>
          <w:tcPr>
            <w:tcW w:w="213" w:type="pct"/>
            <w:shd w:val="clear" w:color="FFFFCC" w:fill="FFFF99"/>
            <w:vAlign w:val="center"/>
            <w:hideMark/>
          </w:tcPr>
          <w:p w14:paraId="7822F79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19</w:t>
            </w:r>
          </w:p>
        </w:tc>
        <w:tc>
          <w:tcPr>
            <w:tcW w:w="208" w:type="pct"/>
            <w:shd w:val="clear" w:color="FFFFCC" w:fill="FFFF99"/>
            <w:vAlign w:val="center"/>
            <w:hideMark/>
          </w:tcPr>
          <w:p w14:paraId="7081C6A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3DAFE53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22</w:t>
            </w:r>
          </w:p>
        </w:tc>
        <w:tc>
          <w:tcPr>
            <w:tcW w:w="157" w:type="pct"/>
            <w:shd w:val="clear" w:color="33CCCC" w:fill="C6E0B4"/>
            <w:vAlign w:val="center"/>
            <w:hideMark/>
          </w:tcPr>
          <w:p w14:paraId="1FFA41E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vAlign w:val="center"/>
            <w:hideMark/>
          </w:tcPr>
          <w:p w14:paraId="5EBE441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19</w:t>
            </w:r>
          </w:p>
        </w:tc>
      </w:tr>
      <w:tr w:rsidR="00390FF5" w:rsidRPr="003D387C" w14:paraId="2AF0DB84" w14:textId="77777777" w:rsidTr="00390FF5">
        <w:trPr>
          <w:trHeight w:val="250"/>
        </w:trPr>
        <w:tc>
          <w:tcPr>
            <w:tcW w:w="507" w:type="pct"/>
            <w:vMerge/>
            <w:vAlign w:val="center"/>
            <w:hideMark/>
          </w:tcPr>
          <w:p w14:paraId="66E719B2"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4AD1AEAF"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shd w:val="clear" w:color="9999FF" w:fill="DDEBF7"/>
            <w:vAlign w:val="center"/>
            <w:hideMark/>
          </w:tcPr>
          <w:p w14:paraId="6927546D" w14:textId="77777777" w:rsidR="001A6E91" w:rsidRPr="004B6036" w:rsidRDefault="001A6E91" w:rsidP="001A6E91">
            <w:pPr>
              <w:spacing w:after="0" w:line="240" w:lineRule="auto"/>
              <w:jc w:val="right"/>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Laboral</w:t>
            </w:r>
          </w:p>
        </w:tc>
        <w:tc>
          <w:tcPr>
            <w:tcW w:w="889" w:type="pct"/>
            <w:shd w:val="clear" w:color="9999FF" w:fill="DDEBF7"/>
            <w:vAlign w:val="center"/>
            <w:hideMark/>
          </w:tcPr>
          <w:p w14:paraId="24DEC62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27" w:type="pct"/>
            <w:shd w:val="clear" w:color="9999FF" w:fill="DDEBF7"/>
            <w:vAlign w:val="center"/>
            <w:hideMark/>
          </w:tcPr>
          <w:p w14:paraId="1165410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9999FF" w:fill="DDEBF7"/>
            <w:vAlign w:val="center"/>
            <w:hideMark/>
          </w:tcPr>
          <w:p w14:paraId="747C887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9999FF" w:fill="DDEBF7"/>
            <w:vAlign w:val="center"/>
            <w:hideMark/>
          </w:tcPr>
          <w:p w14:paraId="688C8F7A"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73692F8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25516A0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22</w:t>
            </w:r>
          </w:p>
        </w:tc>
        <w:tc>
          <w:tcPr>
            <w:tcW w:w="213" w:type="pct"/>
            <w:shd w:val="clear" w:color="FFFFCC" w:fill="FFFF99"/>
            <w:vAlign w:val="center"/>
            <w:hideMark/>
          </w:tcPr>
          <w:p w14:paraId="3F5E08B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20</w:t>
            </w:r>
          </w:p>
        </w:tc>
        <w:tc>
          <w:tcPr>
            <w:tcW w:w="208" w:type="pct"/>
            <w:shd w:val="clear" w:color="FFFFCC" w:fill="FFFF99"/>
            <w:vAlign w:val="center"/>
            <w:hideMark/>
          </w:tcPr>
          <w:p w14:paraId="1581B48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2BF709D7"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22</w:t>
            </w:r>
          </w:p>
        </w:tc>
        <w:tc>
          <w:tcPr>
            <w:tcW w:w="157" w:type="pct"/>
            <w:shd w:val="clear" w:color="33CCCC" w:fill="C6E0B4"/>
            <w:vAlign w:val="center"/>
            <w:hideMark/>
          </w:tcPr>
          <w:p w14:paraId="3F41476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vAlign w:val="center"/>
            <w:hideMark/>
          </w:tcPr>
          <w:p w14:paraId="465E4E5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20</w:t>
            </w:r>
          </w:p>
        </w:tc>
      </w:tr>
      <w:tr w:rsidR="00390FF5" w:rsidRPr="003D387C" w14:paraId="060BE5A0" w14:textId="77777777" w:rsidTr="00390FF5">
        <w:trPr>
          <w:trHeight w:val="750"/>
        </w:trPr>
        <w:tc>
          <w:tcPr>
            <w:tcW w:w="507" w:type="pct"/>
            <w:vMerge/>
            <w:vAlign w:val="center"/>
            <w:hideMark/>
          </w:tcPr>
          <w:p w14:paraId="7522245A"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restart"/>
            <w:shd w:val="clear" w:color="FF9900" w:fill="FFFFFF"/>
            <w:vAlign w:val="center"/>
            <w:hideMark/>
          </w:tcPr>
          <w:p w14:paraId="39D982E3"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2</w:t>
            </w:r>
          </w:p>
        </w:tc>
        <w:tc>
          <w:tcPr>
            <w:tcW w:w="530" w:type="pct"/>
            <w:shd w:val="clear" w:color="FF9900" w:fill="FFFFFF"/>
            <w:vAlign w:val="center"/>
            <w:hideMark/>
          </w:tcPr>
          <w:p w14:paraId="687F1169"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Salida de asuntos</w:t>
            </w:r>
          </w:p>
        </w:tc>
        <w:tc>
          <w:tcPr>
            <w:tcW w:w="889" w:type="pct"/>
            <w:shd w:val="clear" w:color="FF9900" w:fill="FFFFFF"/>
            <w:vAlign w:val="center"/>
            <w:hideMark/>
          </w:tcPr>
          <w:p w14:paraId="6DCBC5E7"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Cantidad de expedientes terminados durante el mes</w:t>
            </w:r>
          </w:p>
        </w:tc>
        <w:tc>
          <w:tcPr>
            <w:tcW w:w="427" w:type="pct"/>
            <w:shd w:val="clear" w:color="FF9900" w:fill="FFFFFF"/>
            <w:vAlign w:val="center"/>
            <w:hideMark/>
          </w:tcPr>
          <w:p w14:paraId="3D742A2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Mensual</w:t>
            </w:r>
          </w:p>
        </w:tc>
        <w:tc>
          <w:tcPr>
            <w:tcW w:w="465" w:type="pct"/>
            <w:shd w:val="clear" w:color="FF9900" w:fill="FFFFFF"/>
            <w:vAlign w:val="center"/>
            <w:hideMark/>
          </w:tcPr>
          <w:p w14:paraId="2C82D28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Coordinadora o Coordinador Judicial</w:t>
            </w:r>
          </w:p>
        </w:tc>
        <w:tc>
          <w:tcPr>
            <w:tcW w:w="603" w:type="pct"/>
            <w:shd w:val="clear" w:color="FF9900" w:fill="FFFFFF"/>
            <w:vAlign w:val="center"/>
            <w:hideMark/>
          </w:tcPr>
          <w:p w14:paraId="31D4024D" w14:textId="515E4729" w:rsidR="001A6E91" w:rsidRPr="004B6036" w:rsidRDefault="00390FF5" w:rsidP="001A6E91">
            <w:pPr>
              <w:spacing w:after="0" w:line="240" w:lineRule="auto"/>
              <w:rPr>
                <w:rFonts w:ascii="Cambria" w:eastAsia="Times New Roman" w:hAnsi="Cambria" w:cs="Calibri"/>
                <w:sz w:val="12"/>
                <w:szCs w:val="12"/>
                <w:lang w:eastAsia="es-CR"/>
              </w:rPr>
            </w:pPr>
            <w:r w:rsidRPr="003D387C">
              <w:rPr>
                <w:rFonts w:ascii="Cambria" w:eastAsia="Times New Roman" w:hAnsi="Cambria" w:cs="Calibri"/>
                <w:sz w:val="12"/>
                <w:szCs w:val="12"/>
                <w:lang w:eastAsia="es-CR"/>
              </w:rPr>
              <w:t>Este dato</w:t>
            </w:r>
            <w:r w:rsidR="001A6E91" w:rsidRPr="004B6036">
              <w:rPr>
                <w:rFonts w:ascii="Cambria" w:eastAsia="Times New Roman" w:hAnsi="Cambria" w:cs="Calibri"/>
                <w:sz w:val="12"/>
                <w:szCs w:val="12"/>
                <w:lang w:eastAsia="es-CR"/>
              </w:rPr>
              <w:t xml:space="preserve"> se obtiene del informe de estadística. </w:t>
            </w:r>
          </w:p>
        </w:tc>
        <w:tc>
          <w:tcPr>
            <w:tcW w:w="178" w:type="pct"/>
            <w:shd w:val="clear" w:color="FF99CC" w:fill="FF8080"/>
            <w:vAlign w:val="center"/>
            <w:hideMark/>
          </w:tcPr>
          <w:p w14:paraId="2D691BB7"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345909D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51</w:t>
            </w:r>
          </w:p>
        </w:tc>
        <w:tc>
          <w:tcPr>
            <w:tcW w:w="213" w:type="pct"/>
            <w:shd w:val="clear" w:color="FFFFCC" w:fill="FFFF99"/>
            <w:noWrap/>
            <w:vAlign w:val="center"/>
            <w:hideMark/>
          </w:tcPr>
          <w:p w14:paraId="56DBF03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51</w:t>
            </w:r>
          </w:p>
        </w:tc>
        <w:tc>
          <w:tcPr>
            <w:tcW w:w="208" w:type="pct"/>
            <w:shd w:val="clear" w:color="FFFFCC" w:fill="FFFF99"/>
            <w:vAlign w:val="center"/>
            <w:hideMark/>
          </w:tcPr>
          <w:p w14:paraId="4E9C8AF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668CC72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57</w:t>
            </w:r>
          </w:p>
        </w:tc>
        <w:tc>
          <w:tcPr>
            <w:tcW w:w="157" w:type="pct"/>
            <w:shd w:val="clear" w:color="33CCCC" w:fill="C6E0B4"/>
            <w:vAlign w:val="center"/>
            <w:hideMark/>
          </w:tcPr>
          <w:p w14:paraId="41C1FD3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vAlign w:val="center"/>
            <w:hideMark/>
          </w:tcPr>
          <w:p w14:paraId="4A1AED3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57</w:t>
            </w:r>
          </w:p>
        </w:tc>
      </w:tr>
      <w:tr w:rsidR="00390FF5" w:rsidRPr="003D387C" w14:paraId="4C80F445" w14:textId="77777777" w:rsidTr="00390FF5">
        <w:trPr>
          <w:trHeight w:val="250"/>
        </w:trPr>
        <w:tc>
          <w:tcPr>
            <w:tcW w:w="507" w:type="pct"/>
            <w:vMerge/>
            <w:vAlign w:val="center"/>
            <w:hideMark/>
          </w:tcPr>
          <w:p w14:paraId="1174E1E7"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4C0B05ED"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shd w:val="clear" w:color="9999FF" w:fill="DDEBF7"/>
            <w:vAlign w:val="center"/>
            <w:hideMark/>
          </w:tcPr>
          <w:p w14:paraId="5DEF38FA" w14:textId="77777777" w:rsidR="001A6E91" w:rsidRPr="004B6036" w:rsidRDefault="001A6E91" w:rsidP="001A6E91">
            <w:pPr>
              <w:spacing w:after="0" w:line="240" w:lineRule="auto"/>
              <w:jc w:val="right"/>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Civil </w:t>
            </w:r>
          </w:p>
        </w:tc>
        <w:tc>
          <w:tcPr>
            <w:tcW w:w="889" w:type="pct"/>
            <w:shd w:val="clear" w:color="9999FF" w:fill="DDEBF7"/>
            <w:vAlign w:val="center"/>
            <w:hideMark/>
          </w:tcPr>
          <w:p w14:paraId="3D69AD8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27" w:type="pct"/>
            <w:shd w:val="clear" w:color="9999FF" w:fill="DDEBF7"/>
            <w:vAlign w:val="center"/>
            <w:hideMark/>
          </w:tcPr>
          <w:p w14:paraId="1A3304A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9999FF" w:fill="DDEBF7"/>
            <w:vAlign w:val="center"/>
            <w:hideMark/>
          </w:tcPr>
          <w:p w14:paraId="3246A17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9999FF" w:fill="DDEBF7"/>
            <w:vAlign w:val="center"/>
            <w:hideMark/>
          </w:tcPr>
          <w:p w14:paraId="5AACEC1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36E9AEA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noWrap/>
            <w:vAlign w:val="center"/>
            <w:hideMark/>
          </w:tcPr>
          <w:p w14:paraId="3DDE326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24</w:t>
            </w:r>
          </w:p>
        </w:tc>
        <w:tc>
          <w:tcPr>
            <w:tcW w:w="213" w:type="pct"/>
            <w:shd w:val="clear" w:color="FFFFCC" w:fill="FFFF99"/>
            <w:noWrap/>
            <w:vAlign w:val="center"/>
            <w:hideMark/>
          </w:tcPr>
          <w:p w14:paraId="103F9AC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24</w:t>
            </w:r>
          </w:p>
        </w:tc>
        <w:tc>
          <w:tcPr>
            <w:tcW w:w="208" w:type="pct"/>
            <w:shd w:val="clear" w:color="FFFFCC" w:fill="FFFF99"/>
            <w:vAlign w:val="center"/>
            <w:hideMark/>
          </w:tcPr>
          <w:p w14:paraId="7322124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7D23C79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27</w:t>
            </w:r>
          </w:p>
        </w:tc>
        <w:tc>
          <w:tcPr>
            <w:tcW w:w="157" w:type="pct"/>
            <w:shd w:val="clear" w:color="33CCCC" w:fill="C6E0B4"/>
            <w:vAlign w:val="center"/>
            <w:hideMark/>
          </w:tcPr>
          <w:p w14:paraId="60ABF21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noWrap/>
            <w:vAlign w:val="center"/>
            <w:hideMark/>
          </w:tcPr>
          <w:p w14:paraId="3F737CA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27</w:t>
            </w:r>
          </w:p>
        </w:tc>
      </w:tr>
      <w:tr w:rsidR="00390FF5" w:rsidRPr="003D387C" w14:paraId="6B931C70" w14:textId="77777777" w:rsidTr="00390FF5">
        <w:trPr>
          <w:trHeight w:val="250"/>
        </w:trPr>
        <w:tc>
          <w:tcPr>
            <w:tcW w:w="507" w:type="pct"/>
            <w:vMerge/>
            <w:vAlign w:val="center"/>
            <w:hideMark/>
          </w:tcPr>
          <w:p w14:paraId="0A27D55C"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3530D92E"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shd w:val="clear" w:color="9999FF" w:fill="DDEBF7"/>
            <w:vAlign w:val="center"/>
            <w:hideMark/>
          </w:tcPr>
          <w:p w14:paraId="2E087A60" w14:textId="77777777" w:rsidR="001A6E91" w:rsidRPr="004B6036" w:rsidRDefault="001A6E91" w:rsidP="001A6E91">
            <w:pPr>
              <w:spacing w:after="0" w:line="240" w:lineRule="auto"/>
              <w:jc w:val="right"/>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Laboral</w:t>
            </w:r>
          </w:p>
        </w:tc>
        <w:tc>
          <w:tcPr>
            <w:tcW w:w="889" w:type="pct"/>
            <w:shd w:val="clear" w:color="9999FF" w:fill="DDEBF7"/>
            <w:vAlign w:val="center"/>
            <w:hideMark/>
          </w:tcPr>
          <w:p w14:paraId="164B855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27" w:type="pct"/>
            <w:shd w:val="clear" w:color="9999FF" w:fill="DDEBF7"/>
            <w:vAlign w:val="center"/>
            <w:hideMark/>
          </w:tcPr>
          <w:p w14:paraId="6A47845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9999FF" w:fill="DDEBF7"/>
            <w:vAlign w:val="center"/>
            <w:hideMark/>
          </w:tcPr>
          <w:p w14:paraId="54AC013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9999FF" w:fill="DDEBF7"/>
            <w:vAlign w:val="center"/>
            <w:hideMark/>
          </w:tcPr>
          <w:p w14:paraId="65B7D3D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584649F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noWrap/>
            <w:vAlign w:val="center"/>
            <w:hideMark/>
          </w:tcPr>
          <w:p w14:paraId="1B90CD1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27</w:t>
            </w:r>
          </w:p>
        </w:tc>
        <w:tc>
          <w:tcPr>
            <w:tcW w:w="213" w:type="pct"/>
            <w:shd w:val="clear" w:color="FFFFCC" w:fill="FFFF99"/>
            <w:noWrap/>
            <w:vAlign w:val="center"/>
            <w:hideMark/>
          </w:tcPr>
          <w:p w14:paraId="1D19D4D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27</w:t>
            </w:r>
          </w:p>
        </w:tc>
        <w:tc>
          <w:tcPr>
            <w:tcW w:w="208" w:type="pct"/>
            <w:shd w:val="clear" w:color="FFFFCC" w:fill="FFFF99"/>
            <w:vAlign w:val="center"/>
            <w:hideMark/>
          </w:tcPr>
          <w:p w14:paraId="0305EC0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153CB8C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30</w:t>
            </w:r>
          </w:p>
        </w:tc>
        <w:tc>
          <w:tcPr>
            <w:tcW w:w="157" w:type="pct"/>
            <w:shd w:val="clear" w:color="33CCCC" w:fill="C6E0B4"/>
            <w:vAlign w:val="center"/>
            <w:hideMark/>
          </w:tcPr>
          <w:p w14:paraId="5589D49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noWrap/>
            <w:vAlign w:val="center"/>
            <w:hideMark/>
          </w:tcPr>
          <w:p w14:paraId="23AE2A2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30</w:t>
            </w:r>
          </w:p>
        </w:tc>
      </w:tr>
      <w:tr w:rsidR="00390FF5" w:rsidRPr="003D387C" w14:paraId="4CD5EE77" w14:textId="77777777" w:rsidTr="00390FF5">
        <w:trPr>
          <w:trHeight w:val="750"/>
        </w:trPr>
        <w:tc>
          <w:tcPr>
            <w:tcW w:w="507" w:type="pct"/>
            <w:vMerge/>
            <w:vAlign w:val="center"/>
            <w:hideMark/>
          </w:tcPr>
          <w:p w14:paraId="05B6D679"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restart"/>
            <w:shd w:val="clear" w:color="FF9900" w:fill="FFFFFF"/>
            <w:vAlign w:val="center"/>
            <w:hideMark/>
          </w:tcPr>
          <w:p w14:paraId="524E9515"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3</w:t>
            </w:r>
          </w:p>
        </w:tc>
        <w:tc>
          <w:tcPr>
            <w:tcW w:w="530" w:type="pct"/>
            <w:shd w:val="clear" w:color="FF9900" w:fill="FFFFFF"/>
            <w:vAlign w:val="center"/>
            <w:hideMark/>
          </w:tcPr>
          <w:p w14:paraId="2BBA1827"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Circulante total del despacho</w:t>
            </w:r>
          </w:p>
        </w:tc>
        <w:tc>
          <w:tcPr>
            <w:tcW w:w="889" w:type="pct"/>
            <w:shd w:val="clear" w:color="FF9900" w:fill="FFFFFF"/>
            <w:vAlign w:val="center"/>
            <w:hideMark/>
          </w:tcPr>
          <w:p w14:paraId="1D3D5BA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(Circulante Inicial + Entradas)- Salidas</w:t>
            </w:r>
          </w:p>
        </w:tc>
        <w:tc>
          <w:tcPr>
            <w:tcW w:w="427" w:type="pct"/>
            <w:shd w:val="clear" w:color="FF9900" w:fill="FFFFFF"/>
            <w:vAlign w:val="center"/>
            <w:hideMark/>
          </w:tcPr>
          <w:p w14:paraId="55F0B93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Mensual</w:t>
            </w:r>
          </w:p>
        </w:tc>
        <w:tc>
          <w:tcPr>
            <w:tcW w:w="465" w:type="pct"/>
            <w:shd w:val="clear" w:color="FF9900" w:fill="FFFFFF"/>
            <w:vAlign w:val="center"/>
            <w:hideMark/>
          </w:tcPr>
          <w:p w14:paraId="0EFED77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Coordinadora o Coordinador Judicial</w:t>
            </w:r>
          </w:p>
        </w:tc>
        <w:tc>
          <w:tcPr>
            <w:tcW w:w="603" w:type="pct"/>
            <w:shd w:val="clear" w:color="FF9900" w:fill="FFFFFF"/>
            <w:vAlign w:val="center"/>
            <w:hideMark/>
          </w:tcPr>
          <w:p w14:paraId="619BB6B5" w14:textId="1A12A983" w:rsidR="001A6E91" w:rsidRPr="004B6036" w:rsidRDefault="00390FF5" w:rsidP="001A6E91">
            <w:pPr>
              <w:spacing w:after="0" w:line="240" w:lineRule="auto"/>
              <w:rPr>
                <w:rFonts w:ascii="Cambria" w:eastAsia="Times New Roman" w:hAnsi="Cambria" w:cs="Calibri"/>
                <w:sz w:val="12"/>
                <w:szCs w:val="12"/>
                <w:lang w:eastAsia="es-CR"/>
              </w:rPr>
            </w:pPr>
            <w:r w:rsidRPr="003D387C">
              <w:rPr>
                <w:rFonts w:ascii="Cambria" w:eastAsia="Times New Roman" w:hAnsi="Cambria" w:cs="Calibri"/>
                <w:sz w:val="12"/>
                <w:szCs w:val="12"/>
                <w:lang w:eastAsia="es-CR"/>
              </w:rPr>
              <w:t>Este dato</w:t>
            </w:r>
            <w:r w:rsidR="001A6E91" w:rsidRPr="004B6036">
              <w:rPr>
                <w:rFonts w:ascii="Cambria" w:eastAsia="Times New Roman" w:hAnsi="Cambria" w:cs="Calibri"/>
                <w:sz w:val="12"/>
                <w:szCs w:val="12"/>
                <w:lang w:eastAsia="es-CR"/>
              </w:rPr>
              <w:t xml:space="preserve"> se obtiene del informe de estadística.</w:t>
            </w:r>
          </w:p>
        </w:tc>
        <w:tc>
          <w:tcPr>
            <w:tcW w:w="178" w:type="pct"/>
            <w:shd w:val="clear" w:color="FF99CC" w:fill="FF8080"/>
            <w:vAlign w:val="center"/>
            <w:hideMark/>
          </w:tcPr>
          <w:p w14:paraId="2DBD217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4BBA62D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336</w:t>
            </w:r>
          </w:p>
        </w:tc>
        <w:tc>
          <w:tcPr>
            <w:tcW w:w="213" w:type="pct"/>
            <w:shd w:val="clear" w:color="FFFFCC" w:fill="FFFF99"/>
            <w:vAlign w:val="center"/>
            <w:hideMark/>
          </w:tcPr>
          <w:p w14:paraId="486DE4C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304</w:t>
            </w:r>
          </w:p>
        </w:tc>
        <w:tc>
          <w:tcPr>
            <w:tcW w:w="208" w:type="pct"/>
            <w:shd w:val="clear" w:color="FFFFCC" w:fill="FFFF99"/>
            <w:vAlign w:val="center"/>
            <w:hideMark/>
          </w:tcPr>
          <w:p w14:paraId="3AEECC5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7621C67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336</w:t>
            </w:r>
          </w:p>
        </w:tc>
        <w:tc>
          <w:tcPr>
            <w:tcW w:w="157" w:type="pct"/>
            <w:shd w:val="clear" w:color="33CCCC" w:fill="C6E0B4"/>
            <w:vAlign w:val="center"/>
            <w:hideMark/>
          </w:tcPr>
          <w:p w14:paraId="08C8EC6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vAlign w:val="center"/>
            <w:hideMark/>
          </w:tcPr>
          <w:p w14:paraId="1F20EAA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304</w:t>
            </w:r>
          </w:p>
        </w:tc>
      </w:tr>
      <w:tr w:rsidR="00390FF5" w:rsidRPr="003D387C" w14:paraId="0682CC78" w14:textId="77777777" w:rsidTr="00390FF5">
        <w:trPr>
          <w:trHeight w:val="250"/>
        </w:trPr>
        <w:tc>
          <w:tcPr>
            <w:tcW w:w="507" w:type="pct"/>
            <w:vMerge/>
            <w:vAlign w:val="center"/>
            <w:hideMark/>
          </w:tcPr>
          <w:p w14:paraId="462A2C1D"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5AEB290E"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shd w:val="clear" w:color="9999FF" w:fill="DDEBF7"/>
            <w:vAlign w:val="center"/>
            <w:hideMark/>
          </w:tcPr>
          <w:p w14:paraId="0A92D3BC" w14:textId="77777777" w:rsidR="001A6E91" w:rsidRPr="004B6036" w:rsidRDefault="001A6E91" w:rsidP="001A6E91">
            <w:pPr>
              <w:spacing w:after="0" w:line="240" w:lineRule="auto"/>
              <w:jc w:val="right"/>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Civil </w:t>
            </w:r>
          </w:p>
        </w:tc>
        <w:tc>
          <w:tcPr>
            <w:tcW w:w="889" w:type="pct"/>
            <w:shd w:val="clear" w:color="9999FF" w:fill="DDEBF7"/>
            <w:vAlign w:val="center"/>
            <w:hideMark/>
          </w:tcPr>
          <w:p w14:paraId="3DD1780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27" w:type="pct"/>
            <w:shd w:val="clear" w:color="9999FF" w:fill="DDEBF7"/>
            <w:vAlign w:val="center"/>
            <w:hideMark/>
          </w:tcPr>
          <w:p w14:paraId="27F5E51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9999FF" w:fill="DDEBF7"/>
            <w:vAlign w:val="center"/>
            <w:hideMark/>
          </w:tcPr>
          <w:p w14:paraId="1F620FE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9999FF" w:fill="DDEBF7"/>
            <w:vAlign w:val="center"/>
            <w:hideMark/>
          </w:tcPr>
          <w:p w14:paraId="1007D587"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179744A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2131A5B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166</w:t>
            </w:r>
          </w:p>
        </w:tc>
        <w:tc>
          <w:tcPr>
            <w:tcW w:w="213" w:type="pct"/>
            <w:shd w:val="clear" w:color="FFFFCC" w:fill="FFFF99"/>
            <w:vAlign w:val="center"/>
            <w:hideMark/>
          </w:tcPr>
          <w:p w14:paraId="08B0332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150</w:t>
            </w:r>
          </w:p>
        </w:tc>
        <w:tc>
          <w:tcPr>
            <w:tcW w:w="208" w:type="pct"/>
            <w:shd w:val="clear" w:color="FFFFCC" w:fill="FFFF99"/>
            <w:vAlign w:val="center"/>
            <w:hideMark/>
          </w:tcPr>
          <w:p w14:paraId="6AA743C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2DE0C0C7"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166</w:t>
            </w:r>
          </w:p>
        </w:tc>
        <w:tc>
          <w:tcPr>
            <w:tcW w:w="157" w:type="pct"/>
            <w:shd w:val="clear" w:color="33CCCC" w:fill="C6E0B4"/>
            <w:vAlign w:val="center"/>
            <w:hideMark/>
          </w:tcPr>
          <w:p w14:paraId="225059B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vAlign w:val="center"/>
            <w:hideMark/>
          </w:tcPr>
          <w:p w14:paraId="7F8E05D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150</w:t>
            </w:r>
          </w:p>
        </w:tc>
      </w:tr>
      <w:tr w:rsidR="00390FF5" w:rsidRPr="003D387C" w14:paraId="661B2BEC" w14:textId="77777777" w:rsidTr="00390FF5">
        <w:trPr>
          <w:trHeight w:val="250"/>
        </w:trPr>
        <w:tc>
          <w:tcPr>
            <w:tcW w:w="507" w:type="pct"/>
            <w:vMerge/>
            <w:vAlign w:val="center"/>
            <w:hideMark/>
          </w:tcPr>
          <w:p w14:paraId="62EAD675"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66322F8D"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shd w:val="clear" w:color="9999FF" w:fill="DDEBF7"/>
            <w:vAlign w:val="center"/>
            <w:hideMark/>
          </w:tcPr>
          <w:p w14:paraId="2E572764" w14:textId="77777777" w:rsidR="001A6E91" w:rsidRPr="004B6036" w:rsidRDefault="001A6E91" w:rsidP="001A6E91">
            <w:pPr>
              <w:spacing w:after="0" w:line="240" w:lineRule="auto"/>
              <w:jc w:val="right"/>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Laboral</w:t>
            </w:r>
          </w:p>
        </w:tc>
        <w:tc>
          <w:tcPr>
            <w:tcW w:w="889" w:type="pct"/>
            <w:shd w:val="clear" w:color="9999FF" w:fill="DDEBF7"/>
            <w:vAlign w:val="center"/>
            <w:hideMark/>
          </w:tcPr>
          <w:p w14:paraId="608EE1C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27" w:type="pct"/>
            <w:shd w:val="clear" w:color="9999FF" w:fill="DDEBF7"/>
            <w:vAlign w:val="center"/>
            <w:hideMark/>
          </w:tcPr>
          <w:p w14:paraId="6478367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9999FF" w:fill="DDEBF7"/>
            <w:vAlign w:val="center"/>
            <w:hideMark/>
          </w:tcPr>
          <w:p w14:paraId="72CEE67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9999FF" w:fill="DDEBF7"/>
            <w:vAlign w:val="center"/>
            <w:hideMark/>
          </w:tcPr>
          <w:p w14:paraId="066B947C"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682C104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7D78FBE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170</w:t>
            </w:r>
          </w:p>
        </w:tc>
        <w:tc>
          <w:tcPr>
            <w:tcW w:w="213" w:type="pct"/>
            <w:shd w:val="clear" w:color="FFFFCC" w:fill="FFFF99"/>
            <w:vAlign w:val="center"/>
            <w:hideMark/>
          </w:tcPr>
          <w:p w14:paraId="2563FE9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154</w:t>
            </w:r>
          </w:p>
        </w:tc>
        <w:tc>
          <w:tcPr>
            <w:tcW w:w="208" w:type="pct"/>
            <w:shd w:val="clear" w:color="FFFFCC" w:fill="FFFF99"/>
            <w:vAlign w:val="center"/>
            <w:hideMark/>
          </w:tcPr>
          <w:p w14:paraId="082BD46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1481626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170</w:t>
            </w:r>
          </w:p>
        </w:tc>
        <w:tc>
          <w:tcPr>
            <w:tcW w:w="157" w:type="pct"/>
            <w:shd w:val="clear" w:color="33CCCC" w:fill="C6E0B4"/>
            <w:vAlign w:val="center"/>
            <w:hideMark/>
          </w:tcPr>
          <w:p w14:paraId="42A9704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vAlign w:val="center"/>
            <w:hideMark/>
          </w:tcPr>
          <w:p w14:paraId="7944F94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154</w:t>
            </w:r>
          </w:p>
        </w:tc>
      </w:tr>
      <w:tr w:rsidR="00390FF5" w:rsidRPr="003D387C" w14:paraId="2C49DB7D" w14:textId="77777777" w:rsidTr="00390FF5">
        <w:trPr>
          <w:trHeight w:val="1068"/>
        </w:trPr>
        <w:tc>
          <w:tcPr>
            <w:tcW w:w="507" w:type="pct"/>
            <w:vMerge/>
            <w:vAlign w:val="center"/>
            <w:hideMark/>
          </w:tcPr>
          <w:p w14:paraId="3B70D992"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shd w:val="clear" w:color="FF9900" w:fill="FFFFFF"/>
            <w:vAlign w:val="center"/>
            <w:hideMark/>
          </w:tcPr>
          <w:p w14:paraId="735791E6"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4</w:t>
            </w:r>
          </w:p>
        </w:tc>
        <w:tc>
          <w:tcPr>
            <w:tcW w:w="530" w:type="pct"/>
            <w:shd w:val="clear" w:color="FF9900" w:fill="FFFFFF"/>
            <w:vAlign w:val="center"/>
            <w:hideMark/>
          </w:tcPr>
          <w:p w14:paraId="018518EC"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Relación de salida/ entrada en el despacho</w:t>
            </w:r>
          </w:p>
        </w:tc>
        <w:tc>
          <w:tcPr>
            <w:tcW w:w="889" w:type="pct"/>
            <w:shd w:val="clear" w:color="FF9900" w:fill="FFFFFF"/>
            <w:vAlign w:val="center"/>
            <w:hideMark/>
          </w:tcPr>
          <w:p w14:paraId="6A19CCA8" w14:textId="5E722A40"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(Salidas/</w:t>
            </w:r>
            <w:r w:rsidR="00390FF5" w:rsidRPr="003D387C">
              <w:rPr>
                <w:rFonts w:ascii="Cambria" w:eastAsia="Times New Roman" w:hAnsi="Cambria" w:cs="Calibri"/>
                <w:sz w:val="12"/>
                <w:szCs w:val="12"/>
                <w:lang w:eastAsia="es-CR"/>
              </w:rPr>
              <w:t>Entradas) *</w:t>
            </w:r>
            <w:r w:rsidRPr="004B6036">
              <w:rPr>
                <w:rFonts w:ascii="Cambria" w:eastAsia="Times New Roman" w:hAnsi="Cambria" w:cs="Calibri"/>
                <w:sz w:val="12"/>
                <w:szCs w:val="12"/>
                <w:lang w:eastAsia="es-CR"/>
              </w:rPr>
              <w:t>100</w:t>
            </w:r>
          </w:p>
        </w:tc>
        <w:tc>
          <w:tcPr>
            <w:tcW w:w="427" w:type="pct"/>
            <w:shd w:val="clear" w:color="FF9900" w:fill="FFFFFF"/>
            <w:vAlign w:val="center"/>
            <w:hideMark/>
          </w:tcPr>
          <w:p w14:paraId="7ACD2857"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Mensual</w:t>
            </w:r>
          </w:p>
        </w:tc>
        <w:tc>
          <w:tcPr>
            <w:tcW w:w="465" w:type="pct"/>
            <w:shd w:val="clear" w:color="FF9900" w:fill="FFFFFF"/>
            <w:vAlign w:val="center"/>
            <w:hideMark/>
          </w:tcPr>
          <w:p w14:paraId="2B9178B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Coordinadora o Coordinador Judicial</w:t>
            </w:r>
          </w:p>
        </w:tc>
        <w:tc>
          <w:tcPr>
            <w:tcW w:w="603" w:type="pct"/>
            <w:shd w:val="clear" w:color="FF9900" w:fill="FFFFFF"/>
            <w:vAlign w:val="center"/>
            <w:hideMark/>
          </w:tcPr>
          <w:p w14:paraId="06D08F33"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Los datos de entradas y salidas se obtienen del informe de estadística. </w:t>
            </w:r>
          </w:p>
        </w:tc>
        <w:tc>
          <w:tcPr>
            <w:tcW w:w="178" w:type="pct"/>
            <w:shd w:val="clear" w:color="FF99CC" w:fill="FF8080"/>
            <w:vAlign w:val="center"/>
            <w:hideMark/>
          </w:tcPr>
          <w:p w14:paraId="0A124A0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7AAED8B7"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90 %</w:t>
            </w:r>
          </w:p>
        </w:tc>
        <w:tc>
          <w:tcPr>
            <w:tcW w:w="213" w:type="pct"/>
            <w:shd w:val="clear" w:color="FFFFCC" w:fill="FFFF99"/>
            <w:vAlign w:val="center"/>
            <w:hideMark/>
          </w:tcPr>
          <w:p w14:paraId="20BCCD1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90 %</w:t>
            </w:r>
          </w:p>
        </w:tc>
        <w:tc>
          <w:tcPr>
            <w:tcW w:w="208" w:type="pct"/>
            <w:shd w:val="clear" w:color="FFFFCC" w:fill="FFFF99"/>
            <w:vAlign w:val="center"/>
            <w:hideMark/>
          </w:tcPr>
          <w:p w14:paraId="061467F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57E601B7"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100 %</w:t>
            </w:r>
          </w:p>
        </w:tc>
        <w:tc>
          <w:tcPr>
            <w:tcW w:w="157" w:type="pct"/>
            <w:shd w:val="clear" w:color="33CCCC" w:fill="C6E0B4"/>
            <w:vAlign w:val="center"/>
            <w:hideMark/>
          </w:tcPr>
          <w:p w14:paraId="2DDCBB2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vAlign w:val="center"/>
            <w:hideMark/>
          </w:tcPr>
          <w:p w14:paraId="08046957"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100 %</w:t>
            </w:r>
          </w:p>
        </w:tc>
      </w:tr>
      <w:tr w:rsidR="00390FF5" w:rsidRPr="003D387C" w14:paraId="1A812D85" w14:textId="77777777" w:rsidTr="009C513B">
        <w:trPr>
          <w:trHeight w:val="1368"/>
        </w:trPr>
        <w:tc>
          <w:tcPr>
            <w:tcW w:w="507" w:type="pct"/>
            <w:vMerge w:val="restart"/>
            <w:shd w:val="clear" w:color="33CCCC" w:fill="2F75B5"/>
            <w:textDirection w:val="btLr"/>
            <w:vAlign w:val="center"/>
            <w:hideMark/>
          </w:tcPr>
          <w:p w14:paraId="28761CAF" w14:textId="77777777" w:rsidR="001A6E91" w:rsidRPr="004B6036" w:rsidRDefault="001A6E91" w:rsidP="001A6E91">
            <w:pPr>
              <w:spacing w:after="0" w:line="240" w:lineRule="auto"/>
              <w:jc w:val="center"/>
              <w:rPr>
                <w:rFonts w:ascii="Cambria" w:eastAsia="Times New Roman" w:hAnsi="Cambria" w:cs="Calibri"/>
                <w:b/>
                <w:bCs/>
                <w:color w:val="FFFFFF"/>
                <w:sz w:val="12"/>
                <w:szCs w:val="12"/>
                <w:lang w:eastAsia="es-CR"/>
              </w:rPr>
            </w:pPr>
            <w:r w:rsidRPr="004B6036">
              <w:rPr>
                <w:rFonts w:ascii="Cambria" w:eastAsia="Times New Roman" w:hAnsi="Cambria" w:cs="Calibri"/>
                <w:b/>
                <w:bCs/>
                <w:color w:val="FFFFFF"/>
                <w:sz w:val="12"/>
                <w:szCs w:val="12"/>
                <w:lang w:eastAsia="es-CR"/>
              </w:rPr>
              <w:t xml:space="preserve">Plazos </w:t>
            </w:r>
          </w:p>
        </w:tc>
        <w:tc>
          <w:tcPr>
            <w:tcW w:w="208" w:type="pct"/>
            <w:vMerge w:val="restart"/>
            <w:shd w:val="clear" w:color="33CCCC" w:fill="FFFFFF"/>
            <w:vAlign w:val="center"/>
            <w:hideMark/>
          </w:tcPr>
          <w:p w14:paraId="563729FC"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5</w:t>
            </w:r>
          </w:p>
        </w:tc>
        <w:tc>
          <w:tcPr>
            <w:tcW w:w="530" w:type="pct"/>
            <w:vMerge w:val="restart"/>
            <w:shd w:val="clear" w:color="33CCCC" w:fill="FFFFFF"/>
            <w:vAlign w:val="center"/>
            <w:hideMark/>
          </w:tcPr>
          <w:p w14:paraId="1D527C2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Plazo de espera de dictado de sentencia (general)</w:t>
            </w:r>
          </w:p>
        </w:tc>
        <w:tc>
          <w:tcPr>
            <w:tcW w:w="889" w:type="pct"/>
            <w:vMerge w:val="restart"/>
            <w:shd w:val="clear" w:color="33CCCC" w:fill="FFFFFF"/>
            <w:vAlign w:val="center"/>
            <w:hideMark/>
          </w:tcPr>
          <w:p w14:paraId="00724C6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(Fecha actual- fecha de pase a fallo más antigua)</w:t>
            </w:r>
            <w:r w:rsidRPr="004B6036">
              <w:rPr>
                <w:rFonts w:ascii="Cambria" w:eastAsia="Times New Roman" w:hAnsi="Cambria" w:cs="Calibri"/>
                <w:sz w:val="12"/>
                <w:szCs w:val="12"/>
                <w:lang w:eastAsia="es-CR"/>
              </w:rPr>
              <w:br/>
            </w:r>
            <w:r w:rsidRPr="004B6036">
              <w:rPr>
                <w:rFonts w:ascii="Cambria" w:eastAsia="Times New Roman" w:hAnsi="Cambria" w:cs="Calibri"/>
                <w:sz w:val="12"/>
                <w:szCs w:val="12"/>
                <w:lang w:eastAsia="es-CR"/>
              </w:rPr>
              <w:br/>
              <w:t xml:space="preserve">Este dato se obtiene del libro en el que se consigne las fechas de pase a fallo de los expedientes pendientes de dictado de sentencia. Indicar la fecha automáticamente con la inclusión se obtendrá el plazo más alto. </w:t>
            </w:r>
          </w:p>
        </w:tc>
        <w:tc>
          <w:tcPr>
            <w:tcW w:w="427" w:type="pct"/>
            <w:vMerge w:val="restart"/>
            <w:shd w:val="clear" w:color="33CCCC" w:fill="FFFFFF"/>
            <w:vAlign w:val="center"/>
            <w:hideMark/>
          </w:tcPr>
          <w:p w14:paraId="3BE8AEA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Mensual</w:t>
            </w:r>
          </w:p>
        </w:tc>
        <w:tc>
          <w:tcPr>
            <w:tcW w:w="465" w:type="pct"/>
            <w:vMerge w:val="restart"/>
            <w:shd w:val="clear" w:color="33CCCC" w:fill="FFFFFF"/>
            <w:vAlign w:val="center"/>
            <w:hideMark/>
          </w:tcPr>
          <w:p w14:paraId="68821EB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Coordinadora o Coordinador Judicial</w:t>
            </w:r>
          </w:p>
        </w:tc>
        <w:tc>
          <w:tcPr>
            <w:tcW w:w="603" w:type="pct"/>
            <w:shd w:val="clear" w:color="33CCCC" w:fill="FFFFFF"/>
            <w:vAlign w:val="center"/>
            <w:hideMark/>
          </w:tcPr>
          <w:p w14:paraId="62E0CE5C"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 xml:space="preserve">Civil </w:t>
            </w:r>
          </w:p>
        </w:tc>
        <w:tc>
          <w:tcPr>
            <w:tcW w:w="178" w:type="pct"/>
            <w:shd w:val="clear" w:color="FF99CC" w:fill="FF8080"/>
            <w:vAlign w:val="center"/>
            <w:hideMark/>
          </w:tcPr>
          <w:p w14:paraId="655979A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349C305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95</w:t>
            </w:r>
          </w:p>
        </w:tc>
        <w:tc>
          <w:tcPr>
            <w:tcW w:w="213" w:type="pct"/>
            <w:shd w:val="clear" w:color="FFFFCC" w:fill="FFFF99"/>
            <w:vAlign w:val="center"/>
            <w:hideMark/>
          </w:tcPr>
          <w:p w14:paraId="66F84AE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86</w:t>
            </w:r>
          </w:p>
        </w:tc>
        <w:tc>
          <w:tcPr>
            <w:tcW w:w="208" w:type="pct"/>
            <w:shd w:val="clear" w:color="FFFFCC" w:fill="FFFF99"/>
            <w:vAlign w:val="center"/>
            <w:hideMark/>
          </w:tcPr>
          <w:p w14:paraId="5E5F82E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112E783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95</w:t>
            </w:r>
          </w:p>
        </w:tc>
        <w:tc>
          <w:tcPr>
            <w:tcW w:w="157" w:type="pct"/>
            <w:shd w:val="clear" w:color="33CCCC" w:fill="C6E0B4"/>
            <w:vAlign w:val="center"/>
            <w:hideMark/>
          </w:tcPr>
          <w:p w14:paraId="3EC7BA9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0F4D109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86</w:t>
            </w:r>
          </w:p>
        </w:tc>
      </w:tr>
      <w:tr w:rsidR="00390FF5" w:rsidRPr="003D387C" w14:paraId="61C9C29D" w14:textId="77777777" w:rsidTr="009C513B">
        <w:trPr>
          <w:trHeight w:val="1529"/>
        </w:trPr>
        <w:tc>
          <w:tcPr>
            <w:tcW w:w="507" w:type="pct"/>
            <w:vMerge/>
            <w:vAlign w:val="center"/>
            <w:hideMark/>
          </w:tcPr>
          <w:p w14:paraId="68BC0C8C"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113A50C5"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05395D5A" w14:textId="77777777" w:rsidR="001A6E91" w:rsidRPr="004B6036" w:rsidRDefault="001A6E91" w:rsidP="001A6E91">
            <w:pPr>
              <w:spacing w:after="0" w:line="240" w:lineRule="auto"/>
              <w:rPr>
                <w:rFonts w:ascii="Cambria" w:eastAsia="Times New Roman" w:hAnsi="Cambria" w:cs="Calibri"/>
                <w:sz w:val="12"/>
                <w:szCs w:val="12"/>
                <w:lang w:eastAsia="es-CR"/>
              </w:rPr>
            </w:pPr>
          </w:p>
        </w:tc>
        <w:tc>
          <w:tcPr>
            <w:tcW w:w="889" w:type="pct"/>
            <w:vMerge/>
            <w:vAlign w:val="center"/>
            <w:hideMark/>
          </w:tcPr>
          <w:p w14:paraId="04BEF9A0" w14:textId="77777777" w:rsidR="001A6E91" w:rsidRPr="004B6036" w:rsidRDefault="001A6E91" w:rsidP="001A6E91">
            <w:pPr>
              <w:spacing w:after="0" w:line="240" w:lineRule="auto"/>
              <w:rPr>
                <w:rFonts w:ascii="Cambria" w:eastAsia="Times New Roman" w:hAnsi="Cambria" w:cs="Calibri"/>
                <w:sz w:val="12"/>
                <w:szCs w:val="12"/>
                <w:lang w:eastAsia="es-CR"/>
              </w:rPr>
            </w:pPr>
          </w:p>
        </w:tc>
        <w:tc>
          <w:tcPr>
            <w:tcW w:w="427" w:type="pct"/>
            <w:vMerge/>
            <w:vAlign w:val="center"/>
            <w:hideMark/>
          </w:tcPr>
          <w:p w14:paraId="2D7B1DE2" w14:textId="77777777" w:rsidR="001A6E91" w:rsidRPr="004B6036" w:rsidRDefault="001A6E91" w:rsidP="001A6E91">
            <w:pPr>
              <w:spacing w:after="0" w:line="240" w:lineRule="auto"/>
              <w:rPr>
                <w:rFonts w:ascii="Cambria" w:eastAsia="Times New Roman" w:hAnsi="Cambria" w:cs="Calibri"/>
                <w:sz w:val="12"/>
                <w:szCs w:val="12"/>
                <w:lang w:eastAsia="es-CR"/>
              </w:rPr>
            </w:pPr>
          </w:p>
        </w:tc>
        <w:tc>
          <w:tcPr>
            <w:tcW w:w="465" w:type="pct"/>
            <w:vMerge/>
            <w:vAlign w:val="center"/>
            <w:hideMark/>
          </w:tcPr>
          <w:p w14:paraId="673627C3" w14:textId="77777777" w:rsidR="001A6E91" w:rsidRPr="004B6036" w:rsidRDefault="001A6E91" w:rsidP="001A6E91">
            <w:pPr>
              <w:spacing w:after="0" w:line="240" w:lineRule="auto"/>
              <w:rPr>
                <w:rFonts w:ascii="Cambria" w:eastAsia="Times New Roman" w:hAnsi="Cambria" w:cs="Calibri"/>
                <w:sz w:val="12"/>
                <w:szCs w:val="12"/>
                <w:lang w:eastAsia="es-CR"/>
              </w:rPr>
            </w:pPr>
          </w:p>
        </w:tc>
        <w:tc>
          <w:tcPr>
            <w:tcW w:w="603" w:type="pct"/>
            <w:shd w:val="clear" w:color="33CCCC" w:fill="FFFFFF"/>
            <w:vAlign w:val="center"/>
            <w:hideMark/>
          </w:tcPr>
          <w:p w14:paraId="23A05AAE"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 xml:space="preserve">Laboral </w:t>
            </w:r>
          </w:p>
        </w:tc>
        <w:tc>
          <w:tcPr>
            <w:tcW w:w="178" w:type="pct"/>
            <w:shd w:val="clear" w:color="FF99CC" w:fill="FF8080"/>
            <w:vAlign w:val="center"/>
            <w:hideMark/>
          </w:tcPr>
          <w:p w14:paraId="59C37BD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3B72842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21</w:t>
            </w:r>
          </w:p>
        </w:tc>
        <w:tc>
          <w:tcPr>
            <w:tcW w:w="213" w:type="pct"/>
            <w:shd w:val="clear" w:color="FFFFCC" w:fill="FFFF99"/>
            <w:vAlign w:val="center"/>
            <w:hideMark/>
          </w:tcPr>
          <w:p w14:paraId="33459E7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15</w:t>
            </w:r>
          </w:p>
        </w:tc>
        <w:tc>
          <w:tcPr>
            <w:tcW w:w="208" w:type="pct"/>
            <w:shd w:val="clear" w:color="FFFFCC" w:fill="FFFF99"/>
            <w:vAlign w:val="center"/>
            <w:hideMark/>
          </w:tcPr>
          <w:p w14:paraId="10DD3F8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12DBFBE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21</w:t>
            </w:r>
          </w:p>
        </w:tc>
        <w:tc>
          <w:tcPr>
            <w:tcW w:w="157" w:type="pct"/>
            <w:shd w:val="clear" w:color="33CCCC" w:fill="C6E0B4"/>
            <w:vAlign w:val="center"/>
            <w:hideMark/>
          </w:tcPr>
          <w:p w14:paraId="1C5AEA0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66D057E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15</w:t>
            </w:r>
          </w:p>
        </w:tc>
      </w:tr>
      <w:tr w:rsidR="003D387C" w:rsidRPr="003D387C" w14:paraId="22614D31" w14:textId="77777777" w:rsidTr="004B6036">
        <w:trPr>
          <w:trHeight w:val="433"/>
        </w:trPr>
        <w:tc>
          <w:tcPr>
            <w:tcW w:w="507" w:type="pct"/>
            <w:vMerge/>
            <w:vAlign w:val="center"/>
            <w:hideMark/>
          </w:tcPr>
          <w:p w14:paraId="143BDEA0"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57D84E94"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204B7549" w14:textId="77777777" w:rsidR="001A6E91" w:rsidRPr="004B6036" w:rsidRDefault="001A6E91" w:rsidP="001A6E91">
            <w:pPr>
              <w:spacing w:after="0" w:line="240" w:lineRule="auto"/>
              <w:rPr>
                <w:rFonts w:ascii="Cambria" w:eastAsia="Times New Roman" w:hAnsi="Cambria" w:cs="Calibri"/>
                <w:sz w:val="12"/>
                <w:szCs w:val="12"/>
                <w:lang w:eastAsia="es-CR"/>
              </w:rPr>
            </w:pPr>
          </w:p>
        </w:tc>
        <w:tc>
          <w:tcPr>
            <w:tcW w:w="889" w:type="pct"/>
            <w:vMerge/>
            <w:vAlign w:val="center"/>
            <w:hideMark/>
          </w:tcPr>
          <w:p w14:paraId="09DF2C1E" w14:textId="77777777" w:rsidR="001A6E91" w:rsidRPr="004B6036" w:rsidRDefault="001A6E91" w:rsidP="001A6E91">
            <w:pPr>
              <w:spacing w:after="0" w:line="240" w:lineRule="auto"/>
              <w:rPr>
                <w:rFonts w:ascii="Cambria" w:eastAsia="Times New Roman" w:hAnsi="Cambria" w:cs="Calibri"/>
                <w:sz w:val="12"/>
                <w:szCs w:val="12"/>
                <w:lang w:eastAsia="es-CR"/>
              </w:rPr>
            </w:pPr>
          </w:p>
        </w:tc>
        <w:tc>
          <w:tcPr>
            <w:tcW w:w="427" w:type="pct"/>
            <w:vMerge/>
            <w:vAlign w:val="center"/>
            <w:hideMark/>
          </w:tcPr>
          <w:p w14:paraId="51AC3006" w14:textId="77777777" w:rsidR="001A6E91" w:rsidRPr="004B6036" w:rsidRDefault="001A6E91" w:rsidP="001A6E91">
            <w:pPr>
              <w:spacing w:after="0" w:line="240" w:lineRule="auto"/>
              <w:rPr>
                <w:rFonts w:ascii="Cambria" w:eastAsia="Times New Roman" w:hAnsi="Cambria" w:cs="Calibri"/>
                <w:sz w:val="12"/>
                <w:szCs w:val="12"/>
                <w:lang w:eastAsia="es-CR"/>
              </w:rPr>
            </w:pPr>
          </w:p>
        </w:tc>
        <w:tc>
          <w:tcPr>
            <w:tcW w:w="465" w:type="pct"/>
            <w:vMerge/>
            <w:vAlign w:val="center"/>
            <w:hideMark/>
          </w:tcPr>
          <w:p w14:paraId="55BB27B3" w14:textId="77777777" w:rsidR="001A6E91" w:rsidRPr="004B6036" w:rsidRDefault="001A6E91" w:rsidP="001A6E91">
            <w:pPr>
              <w:spacing w:after="0" w:line="240" w:lineRule="auto"/>
              <w:rPr>
                <w:rFonts w:ascii="Cambria" w:eastAsia="Times New Roman" w:hAnsi="Cambria" w:cs="Calibri"/>
                <w:sz w:val="12"/>
                <w:szCs w:val="12"/>
                <w:lang w:eastAsia="es-CR"/>
              </w:rPr>
            </w:pPr>
          </w:p>
        </w:tc>
        <w:tc>
          <w:tcPr>
            <w:tcW w:w="603" w:type="pct"/>
            <w:shd w:val="clear" w:color="33CCCC" w:fill="FFFFFF"/>
            <w:vAlign w:val="center"/>
            <w:hideMark/>
          </w:tcPr>
          <w:p w14:paraId="07EEEFD9"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371" w:type="pct"/>
            <w:gridSpan w:val="7"/>
            <w:shd w:val="clear" w:color="FF99CC" w:fill="FFFFFF"/>
            <w:vAlign w:val="center"/>
            <w:hideMark/>
          </w:tcPr>
          <w:p w14:paraId="747407E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Fecha actual </w:t>
            </w:r>
          </w:p>
        </w:tc>
      </w:tr>
      <w:tr w:rsidR="00DF7D2C" w:rsidRPr="003D387C" w14:paraId="32A29C4C" w14:textId="77777777" w:rsidTr="00390FF5">
        <w:trPr>
          <w:trHeight w:val="250"/>
        </w:trPr>
        <w:tc>
          <w:tcPr>
            <w:tcW w:w="507" w:type="pct"/>
            <w:vMerge/>
            <w:vAlign w:val="center"/>
            <w:hideMark/>
          </w:tcPr>
          <w:p w14:paraId="09DB23E6"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36FCF2E4"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restart"/>
            <w:shd w:val="clear" w:color="FFFFFF" w:fill="DDEBF7"/>
            <w:vAlign w:val="center"/>
            <w:hideMark/>
          </w:tcPr>
          <w:p w14:paraId="20FEE17B" w14:textId="77777777" w:rsidR="001A6E91" w:rsidRPr="004B6036" w:rsidRDefault="001A6E91" w:rsidP="001A6E91">
            <w:pPr>
              <w:spacing w:after="0" w:line="240" w:lineRule="auto"/>
              <w:jc w:val="center"/>
              <w:rPr>
                <w:rFonts w:ascii="Cambria" w:eastAsia="Times New Roman" w:hAnsi="Cambria" w:cs="Calibri"/>
                <w:b/>
                <w:bCs/>
                <w:i/>
                <w:iCs/>
                <w:sz w:val="12"/>
                <w:szCs w:val="12"/>
                <w:lang w:eastAsia="es-CR"/>
              </w:rPr>
            </w:pPr>
            <w:r w:rsidRPr="004B6036">
              <w:rPr>
                <w:rFonts w:ascii="Cambria" w:eastAsia="Times New Roman" w:hAnsi="Cambria" w:cs="Calibri"/>
                <w:b/>
                <w:bCs/>
                <w:i/>
                <w:iCs/>
                <w:sz w:val="12"/>
                <w:szCs w:val="12"/>
                <w:lang w:eastAsia="es-CR"/>
              </w:rPr>
              <w:t>Juez(a) 1</w:t>
            </w:r>
          </w:p>
        </w:tc>
        <w:tc>
          <w:tcPr>
            <w:tcW w:w="889" w:type="pct"/>
            <w:vMerge w:val="restart"/>
            <w:shd w:val="clear" w:color="CCFFFF" w:fill="BDD7EE"/>
            <w:vAlign w:val="center"/>
            <w:hideMark/>
          </w:tcPr>
          <w:p w14:paraId="6D1CFE8D"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Civil </w:t>
            </w:r>
          </w:p>
        </w:tc>
        <w:tc>
          <w:tcPr>
            <w:tcW w:w="1495" w:type="pct"/>
            <w:gridSpan w:val="3"/>
            <w:vMerge w:val="restart"/>
            <w:shd w:val="clear" w:color="CCFFFF" w:fill="BDD7EE"/>
            <w:vAlign w:val="center"/>
            <w:hideMark/>
          </w:tcPr>
          <w:p w14:paraId="0C5E6362"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Sentencia de apelación de resolución interlocutoria </w:t>
            </w:r>
          </w:p>
        </w:tc>
        <w:tc>
          <w:tcPr>
            <w:tcW w:w="178" w:type="pct"/>
            <w:shd w:val="clear" w:color="FF99CC" w:fill="FF8080"/>
            <w:vAlign w:val="center"/>
            <w:hideMark/>
          </w:tcPr>
          <w:p w14:paraId="1C17595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46CAC43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32</w:t>
            </w:r>
          </w:p>
        </w:tc>
        <w:tc>
          <w:tcPr>
            <w:tcW w:w="213" w:type="pct"/>
            <w:shd w:val="clear" w:color="FFFFCC" w:fill="FFFF99"/>
            <w:vAlign w:val="center"/>
            <w:hideMark/>
          </w:tcPr>
          <w:p w14:paraId="6BD6E7A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29</w:t>
            </w:r>
          </w:p>
        </w:tc>
        <w:tc>
          <w:tcPr>
            <w:tcW w:w="208" w:type="pct"/>
            <w:shd w:val="clear" w:color="FFFFCC" w:fill="FFFF99"/>
            <w:vAlign w:val="center"/>
            <w:hideMark/>
          </w:tcPr>
          <w:p w14:paraId="2E827BF7"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5EDA7B7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32</w:t>
            </w:r>
          </w:p>
        </w:tc>
        <w:tc>
          <w:tcPr>
            <w:tcW w:w="157" w:type="pct"/>
            <w:shd w:val="clear" w:color="33CCCC" w:fill="C6E0B4"/>
            <w:vAlign w:val="center"/>
            <w:hideMark/>
          </w:tcPr>
          <w:p w14:paraId="7EC02C3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2D6C667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29</w:t>
            </w:r>
          </w:p>
        </w:tc>
      </w:tr>
      <w:tr w:rsidR="003D387C" w:rsidRPr="003D387C" w14:paraId="6DB9F03D" w14:textId="77777777" w:rsidTr="004B6036">
        <w:trPr>
          <w:trHeight w:val="310"/>
        </w:trPr>
        <w:tc>
          <w:tcPr>
            <w:tcW w:w="507" w:type="pct"/>
            <w:vMerge/>
            <w:vAlign w:val="center"/>
            <w:hideMark/>
          </w:tcPr>
          <w:p w14:paraId="2352DFA3"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3D5A2364"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460C8F7D" w14:textId="77777777" w:rsidR="001A6E91" w:rsidRPr="004B6036" w:rsidRDefault="001A6E91" w:rsidP="001A6E91">
            <w:pPr>
              <w:spacing w:after="0" w:line="240" w:lineRule="auto"/>
              <w:rPr>
                <w:rFonts w:ascii="Cambria" w:eastAsia="Times New Roman" w:hAnsi="Cambria" w:cs="Calibri"/>
                <w:b/>
                <w:bCs/>
                <w:i/>
                <w:iCs/>
                <w:sz w:val="12"/>
                <w:szCs w:val="12"/>
                <w:lang w:eastAsia="es-CR"/>
              </w:rPr>
            </w:pPr>
          </w:p>
        </w:tc>
        <w:tc>
          <w:tcPr>
            <w:tcW w:w="889" w:type="pct"/>
            <w:vMerge/>
            <w:vAlign w:val="center"/>
            <w:hideMark/>
          </w:tcPr>
          <w:p w14:paraId="6AE99848"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1495" w:type="pct"/>
            <w:gridSpan w:val="3"/>
            <w:vMerge/>
            <w:vAlign w:val="center"/>
            <w:hideMark/>
          </w:tcPr>
          <w:p w14:paraId="1E83F540"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1371" w:type="pct"/>
            <w:gridSpan w:val="7"/>
            <w:shd w:val="clear" w:color="FF99CC" w:fill="FFFFFF"/>
            <w:vAlign w:val="center"/>
            <w:hideMark/>
          </w:tcPr>
          <w:p w14:paraId="47644BB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Fecha de pase a fallo más antigua </w:t>
            </w:r>
          </w:p>
        </w:tc>
      </w:tr>
      <w:tr w:rsidR="00DF7D2C" w:rsidRPr="003D387C" w14:paraId="7D8D87DA" w14:textId="77777777" w:rsidTr="00390FF5">
        <w:trPr>
          <w:trHeight w:val="310"/>
        </w:trPr>
        <w:tc>
          <w:tcPr>
            <w:tcW w:w="507" w:type="pct"/>
            <w:vMerge/>
            <w:vAlign w:val="center"/>
            <w:hideMark/>
          </w:tcPr>
          <w:p w14:paraId="114253EB"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389A064F"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07F0D76C" w14:textId="77777777" w:rsidR="001A6E91" w:rsidRPr="004B6036" w:rsidRDefault="001A6E91" w:rsidP="001A6E91">
            <w:pPr>
              <w:spacing w:after="0" w:line="240" w:lineRule="auto"/>
              <w:rPr>
                <w:rFonts w:ascii="Cambria" w:eastAsia="Times New Roman" w:hAnsi="Cambria" w:cs="Calibri"/>
                <w:b/>
                <w:bCs/>
                <w:i/>
                <w:iCs/>
                <w:sz w:val="12"/>
                <w:szCs w:val="12"/>
                <w:lang w:eastAsia="es-CR"/>
              </w:rPr>
            </w:pPr>
          </w:p>
        </w:tc>
        <w:tc>
          <w:tcPr>
            <w:tcW w:w="889" w:type="pct"/>
            <w:vMerge/>
            <w:vAlign w:val="center"/>
            <w:hideMark/>
          </w:tcPr>
          <w:p w14:paraId="3D851217"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1495" w:type="pct"/>
            <w:gridSpan w:val="3"/>
            <w:vMerge w:val="restart"/>
            <w:shd w:val="clear" w:color="CCFFFF" w:fill="BDD7EE"/>
            <w:vAlign w:val="center"/>
            <w:hideMark/>
          </w:tcPr>
          <w:p w14:paraId="3513DD9D"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Sentencia de segunda instancia o casación</w:t>
            </w:r>
          </w:p>
        </w:tc>
        <w:tc>
          <w:tcPr>
            <w:tcW w:w="178" w:type="pct"/>
            <w:shd w:val="clear" w:color="FF99CC" w:fill="FF8080"/>
            <w:vAlign w:val="center"/>
            <w:hideMark/>
          </w:tcPr>
          <w:p w14:paraId="5629A10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1613974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95</w:t>
            </w:r>
          </w:p>
        </w:tc>
        <w:tc>
          <w:tcPr>
            <w:tcW w:w="213" w:type="pct"/>
            <w:shd w:val="clear" w:color="FFFFCC" w:fill="FFFF99"/>
            <w:vAlign w:val="center"/>
            <w:hideMark/>
          </w:tcPr>
          <w:p w14:paraId="08A07EA7"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86</w:t>
            </w:r>
          </w:p>
        </w:tc>
        <w:tc>
          <w:tcPr>
            <w:tcW w:w="208" w:type="pct"/>
            <w:shd w:val="clear" w:color="FFFFCC" w:fill="FFFF99"/>
            <w:vAlign w:val="center"/>
            <w:hideMark/>
          </w:tcPr>
          <w:p w14:paraId="1027950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598DD90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95</w:t>
            </w:r>
          </w:p>
        </w:tc>
        <w:tc>
          <w:tcPr>
            <w:tcW w:w="157" w:type="pct"/>
            <w:shd w:val="clear" w:color="33CCCC" w:fill="C6E0B4"/>
            <w:vAlign w:val="center"/>
            <w:hideMark/>
          </w:tcPr>
          <w:p w14:paraId="31CBE26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75BA0CE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86</w:t>
            </w:r>
          </w:p>
        </w:tc>
      </w:tr>
      <w:tr w:rsidR="003D387C" w:rsidRPr="003D387C" w14:paraId="1773EA6F" w14:textId="77777777" w:rsidTr="004B6036">
        <w:trPr>
          <w:trHeight w:val="310"/>
        </w:trPr>
        <w:tc>
          <w:tcPr>
            <w:tcW w:w="507" w:type="pct"/>
            <w:vMerge/>
            <w:vAlign w:val="center"/>
            <w:hideMark/>
          </w:tcPr>
          <w:p w14:paraId="39A1AE4E"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0AA8C6C6"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07DE44A4" w14:textId="77777777" w:rsidR="001A6E91" w:rsidRPr="004B6036" w:rsidRDefault="001A6E91" w:rsidP="001A6E91">
            <w:pPr>
              <w:spacing w:after="0" w:line="240" w:lineRule="auto"/>
              <w:rPr>
                <w:rFonts w:ascii="Cambria" w:eastAsia="Times New Roman" w:hAnsi="Cambria" w:cs="Calibri"/>
                <w:b/>
                <w:bCs/>
                <w:i/>
                <w:iCs/>
                <w:sz w:val="12"/>
                <w:szCs w:val="12"/>
                <w:lang w:eastAsia="es-CR"/>
              </w:rPr>
            </w:pPr>
          </w:p>
        </w:tc>
        <w:tc>
          <w:tcPr>
            <w:tcW w:w="889" w:type="pct"/>
            <w:vMerge/>
            <w:vAlign w:val="center"/>
            <w:hideMark/>
          </w:tcPr>
          <w:p w14:paraId="74FC0F95"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1495" w:type="pct"/>
            <w:gridSpan w:val="3"/>
            <w:vMerge/>
            <w:vAlign w:val="center"/>
            <w:hideMark/>
          </w:tcPr>
          <w:p w14:paraId="04EEB654"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1371" w:type="pct"/>
            <w:gridSpan w:val="7"/>
            <w:shd w:val="clear" w:color="FF99CC" w:fill="FFFFFF"/>
            <w:vAlign w:val="center"/>
            <w:hideMark/>
          </w:tcPr>
          <w:p w14:paraId="54D556E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Fecha de pase a fallo más antigua </w:t>
            </w:r>
          </w:p>
        </w:tc>
      </w:tr>
      <w:tr w:rsidR="00407399" w:rsidRPr="003D387C" w14:paraId="250C6666" w14:textId="77777777" w:rsidTr="00390FF5">
        <w:trPr>
          <w:trHeight w:val="250"/>
        </w:trPr>
        <w:tc>
          <w:tcPr>
            <w:tcW w:w="507" w:type="pct"/>
            <w:vMerge/>
            <w:vAlign w:val="center"/>
            <w:hideMark/>
          </w:tcPr>
          <w:p w14:paraId="54F56A3B"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65F94554"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26E596F0" w14:textId="77777777" w:rsidR="001A6E91" w:rsidRPr="004B6036" w:rsidRDefault="001A6E91" w:rsidP="001A6E91">
            <w:pPr>
              <w:spacing w:after="0" w:line="240" w:lineRule="auto"/>
              <w:rPr>
                <w:rFonts w:ascii="Cambria" w:eastAsia="Times New Roman" w:hAnsi="Cambria" w:cs="Calibri"/>
                <w:b/>
                <w:bCs/>
                <w:i/>
                <w:iCs/>
                <w:sz w:val="12"/>
                <w:szCs w:val="12"/>
                <w:lang w:eastAsia="es-CR"/>
              </w:rPr>
            </w:pPr>
          </w:p>
        </w:tc>
        <w:tc>
          <w:tcPr>
            <w:tcW w:w="2384" w:type="pct"/>
            <w:gridSpan w:val="4"/>
            <w:vMerge w:val="restart"/>
            <w:shd w:val="clear" w:color="CCFFFF" w:fill="DDEBF7"/>
            <w:vAlign w:val="center"/>
            <w:hideMark/>
          </w:tcPr>
          <w:p w14:paraId="50DC2C7C"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Laboral</w:t>
            </w:r>
          </w:p>
        </w:tc>
        <w:tc>
          <w:tcPr>
            <w:tcW w:w="178" w:type="pct"/>
            <w:shd w:val="clear" w:color="FF99CC" w:fill="FF8080"/>
            <w:vAlign w:val="center"/>
            <w:hideMark/>
          </w:tcPr>
          <w:p w14:paraId="29A36CD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7D9314C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21</w:t>
            </w:r>
          </w:p>
        </w:tc>
        <w:tc>
          <w:tcPr>
            <w:tcW w:w="213" w:type="pct"/>
            <w:shd w:val="clear" w:color="FFFFCC" w:fill="FFFF99"/>
            <w:vAlign w:val="center"/>
            <w:hideMark/>
          </w:tcPr>
          <w:p w14:paraId="0E90D14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15</w:t>
            </w:r>
          </w:p>
        </w:tc>
        <w:tc>
          <w:tcPr>
            <w:tcW w:w="208" w:type="pct"/>
            <w:shd w:val="clear" w:color="FFFFCC" w:fill="FFFF99"/>
            <w:vAlign w:val="center"/>
            <w:hideMark/>
          </w:tcPr>
          <w:p w14:paraId="64B8CF6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20F8A67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21</w:t>
            </w:r>
          </w:p>
        </w:tc>
        <w:tc>
          <w:tcPr>
            <w:tcW w:w="157" w:type="pct"/>
            <w:shd w:val="clear" w:color="33CCCC" w:fill="C6E0B4"/>
            <w:vAlign w:val="center"/>
            <w:hideMark/>
          </w:tcPr>
          <w:p w14:paraId="7E17D29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72F7BCA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15</w:t>
            </w:r>
          </w:p>
        </w:tc>
      </w:tr>
      <w:tr w:rsidR="003D387C" w:rsidRPr="003D387C" w14:paraId="3A2EF53A" w14:textId="77777777" w:rsidTr="004B6036">
        <w:trPr>
          <w:trHeight w:val="265"/>
        </w:trPr>
        <w:tc>
          <w:tcPr>
            <w:tcW w:w="507" w:type="pct"/>
            <w:vMerge/>
            <w:vAlign w:val="center"/>
            <w:hideMark/>
          </w:tcPr>
          <w:p w14:paraId="67C11EE9"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76CBB1E6"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7F74BBE9" w14:textId="77777777" w:rsidR="001A6E91" w:rsidRPr="004B6036" w:rsidRDefault="001A6E91" w:rsidP="001A6E91">
            <w:pPr>
              <w:spacing w:after="0" w:line="240" w:lineRule="auto"/>
              <w:rPr>
                <w:rFonts w:ascii="Cambria" w:eastAsia="Times New Roman" w:hAnsi="Cambria" w:cs="Calibri"/>
                <w:b/>
                <w:bCs/>
                <w:i/>
                <w:iCs/>
                <w:sz w:val="12"/>
                <w:szCs w:val="12"/>
                <w:lang w:eastAsia="es-CR"/>
              </w:rPr>
            </w:pPr>
          </w:p>
        </w:tc>
        <w:tc>
          <w:tcPr>
            <w:tcW w:w="2384" w:type="pct"/>
            <w:gridSpan w:val="4"/>
            <w:vMerge/>
            <w:vAlign w:val="center"/>
            <w:hideMark/>
          </w:tcPr>
          <w:p w14:paraId="3C59E77C"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1371" w:type="pct"/>
            <w:gridSpan w:val="7"/>
            <w:shd w:val="clear" w:color="FF99CC" w:fill="FFFFFF"/>
            <w:vAlign w:val="center"/>
            <w:hideMark/>
          </w:tcPr>
          <w:p w14:paraId="6012540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Fecha de pase a fallo más antigua </w:t>
            </w:r>
          </w:p>
        </w:tc>
      </w:tr>
      <w:tr w:rsidR="00DF7D2C" w:rsidRPr="003D387C" w14:paraId="51275476" w14:textId="77777777" w:rsidTr="00390FF5">
        <w:trPr>
          <w:trHeight w:val="250"/>
        </w:trPr>
        <w:tc>
          <w:tcPr>
            <w:tcW w:w="507" w:type="pct"/>
            <w:vMerge/>
            <w:vAlign w:val="center"/>
            <w:hideMark/>
          </w:tcPr>
          <w:p w14:paraId="368273A2"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459AE538"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restart"/>
            <w:shd w:val="clear" w:color="FFFFFF" w:fill="DDEBF7"/>
            <w:vAlign w:val="center"/>
            <w:hideMark/>
          </w:tcPr>
          <w:p w14:paraId="6258673D" w14:textId="77777777" w:rsidR="001A6E91" w:rsidRPr="004B6036" w:rsidRDefault="001A6E91" w:rsidP="001A6E91">
            <w:pPr>
              <w:spacing w:after="0" w:line="240" w:lineRule="auto"/>
              <w:jc w:val="center"/>
              <w:rPr>
                <w:rFonts w:ascii="Cambria" w:eastAsia="Times New Roman" w:hAnsi="Cambria" w:cs="Calibri"/>
                <w:b/>
                <w:bCs/>
                <w:i/>
                <w:iCs/>
                <w:sz w:val="12"/>
                <w:szCs w:val="12"/>
                <w:lang w:eastAsia="es-CR"/>
              </w:rPr>
            </w:pPr>
            <w:r w:rsidRPr="004B6036">
              <w:rPr>
                <w:rFonts w:ascii="Cambria" w:eastAsia="Times New Roman" w:hAnsi="Cambria" w:cs="Calibri"/>
                <w:b/>
                <w:bCs/>
                <w:i/>
                <w:iCs/>
                <w:sz w:val="12"/>
                <w:szCs w:val="12"/>
                <w:lang w:eastAsia="es-CR"/>
              </w:rPr>
              <w:t>Juez(a) 2</w:t>
            </w:r>
          </w:p>
        </w:tc>
        <w:tc>
          <w:tcPr>
            <w:tcW w:w="889" w:type="pct"/>
            <w:vMerge w:val="restart"/>
            <w:shd w:val="clear" w:color="CCFFFF" w:fill="BDD7EE"/>
            <w:vAlign w:val="center"/>
            <w:hideMark/>
          </w:tcPr>
          <w:p w14:paraId="747D7D74"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Civil </w:t>
            </w:r>
          </w:p>
        </w:tc>
        <w:tc>
          <w:tcPr>
            <w:tcW w:w="1495" w:type="pct"/>
            <w:gridSpan w:val="3"/>
            <w:vMerge w:val="restart"/>
            <w:shd w:val="clear" w:color="CCFFFF" w:fill="BDD7EE"/>
            <w:vAlign w:val="center"/>
            <w:hideMark/>
          </w:tcPr>
          <w:p w14:paraId="0D42B35F"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Sentencia de apelación de resolución interlocutoria </w:t>
            </w:r>
          </w:p>
        </w:tc>
        <w:tc>
          <w:tcPr>
            <w:tcW w:w="178" w:type="pct"/>
            <w:shd w:val="clear" w:color="FF99CC" w:fill="FF8080"/>
            <w:vAlign w:val="center"/>
            <w:hideMark/>
          </w:tcPr>
          <w:p w14:paraId="52E7EA1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260CAFD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32</w:t>
            </w:r>
          </w:p>
        </w:tc>
        <w:tc>
          <w:tcPr>
            <w:tcW w:w="213" w:type="pct"/>
            <w:shd w:val="clear" w:color="FFFFCC" w:fill="FFFF99"/>
            <w:vAlign w:val="center"/>
            <w:hideMark/>
          </w:tcPr>
          <w:p w14:paraId="4FC21D5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29</w:t>
            </w:r>
          </w:p>
        </w:tc>
        <w:tc>
          <w:tcPr>
            <w:tcW w:w="208" w:type="pct"/>
            <w:shd w:val="clear" w:color="FFFFCC" w:fill="FFFF99"/>
            <w:vAlign w:val="center"/>
            <w:hideMark/>
          </w:tcPr>
          <w:p w14:paraId="64EBD3A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46240AC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32</w:t>
            </w:r>
          </w:p>
        </w:tc>
        <w:tc>
          <w:tcPr>
            <w:tcW w:w="157" w:type="pct"/>
            <w:shd w:val="clear" w:color="33CCCC" w:fill="C6E0B4"/>
            <w:vAlign w:val="center"/>
            <w:hideMark/>
          </w:tcPr>
          <w:p w14:paraId="6FBE755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78A79C6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29</w:t>
            </w:r>
          </w:p>
        </w:tc>
      </w:tr>
      <w:tr w:rsidR="003D387C" w:rsidRPr="003D387C" w14:paraId="4B93D4FF" w14:textId="77777777" w:rsidTr="004B6036">
        <w:trPr>
          <w:trHeight w:val="260"/>
        </w:trPr>
        <w:tc>
          <w:tcPr>
            <w:tcW w:w="507" w:type="pct"/>
            <w:vMerge/>
            <w:vAlign w:val="center"/>
            <w:hideMark/>
          </w:tcPr>
          <w:p w14:paraId="6CE00C41"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6A430E33"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2984ACA5" w14:textId="77777777" w:rsidR="001A6E91" w:rsidRPr="004B6036" w:rsidRDefault="001A6E91" w:rsidP="001A6E91">
            <w:pPr>
              <w:spacing w:after="0" w:line="240" w:lineRule="auto"/>
              <w:rPr>
                <w:rFonts w:ascii="Cambria" w:eastAsia="Times New Roman" w:hAnsi="Cambria" w:cs="Calibri"/>
                <w:b/>
                <w:bCs/>
                <w:i/>
                <w:iCs/>
                <w:sz w:val="12"/>
                <w:szCs w:val="12"/>
                <w:lang w:eastAsia="es-CR"/>
              </w:rPr>
            </w:pPr>
          </w:p>
        </w:tc>
        <w:tc>
          <w:tcPr>
            <w:tcW w:w="889" w:type="pct"/>
            <w:vMerge/>
            <w:vAlign w:val="center"/>
            <w:hideMark/>
          </w:tcPr>
          <w:p w14:paraId="61E001EB"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1495" w:type="pct"/>
            <w:gridSpan w:val="3"/>
            <w:vMerge/>
            <w:vAlign w:val="center"/>
            <w:hideMark/>
          </w:tcPr>
          <w:p w14:paraId="69B67540"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1371" w:type="pct"/>
            <w:gridSpan w:val="7"/>
            <w:shd w:val="clear" w:color="FF99CC" w:fill="FFFFFF"/>
            <w:vAlign w:val="center"/>
            <w:hideMark/>
          </w:tcPr>
          <w:p w14:paraId="17BD132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Fecha de pase a fallo más antigua </w:t>
            </w:r>
          </w:p>
        </w:tc>
      </w:tr>
      <w:tr w:rsidR="00DF7D2C" w:rsidRPr="003D387C" w14:paraId="60E4535B" w14:textId="77777777" w:rsidTr="00390FF5">
        <w:trPr>
          <w:trHeight w:val="260"/>
        </w:trPr>
        <w:tc>
          <w:tcPr>
            <w:tcW w:w="507" w:type="pct"/>
            <w:vMerge/>
            <w:vAlign w:val="center"/>
            <w:hideMark/>
          </w:tcPr>
          <w:p w14:paraId="015F05B8"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356B1778"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68703634" w14:textId="77777777" w:rsidR="001A6E91" w:rsidRPr="004B6036" w:rsidRDefault="001A6E91" w:rsidP="001A6E91">
            <w:pPr>
              <w:spacing w:after="0" w:line="240" w:lineRule="auto"/>
              <w:rPr>
                <w:rFonts w:ascii="Cambria" w:eastAsia="Times New Roman" w:hAnsi="Cambria" w:cs="Calibri"/>
                <w:b/>
                <w:bCs/>
                <w:i/>
                <w:iCs/>
                <w:sz w:val="12"/>
                <w:szCs w:val="12"/>
                <w:lang w:eastAsia="es-CR"/>
              </w:rPr>
            </w:pPr>
          </w:p>
        </w:tc>
        <w:tc>
          <w:tcPr>
            <w:tcW w:w="889" w:type="pct"/>
            <w:vMerge/>
            <w:vAlign w:val="center"/>
            <w:hideMark/>
          </w:tcPr>
          <w:p w14:paraId="33DC4581"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1495" w:type="pct"/>
            <w:gridSpan w:val="3"/>
            <w:vMerge w:val="restart"/>
            <w:shd w:val="clear" w:color="CCFFFF" w:fill="BDD7EE"/>
            <w:vAlign w:val="center"/>
            <w:hideMark/>
          </w:tcPr>
          <w:p w14:paraId="24632CD3"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Sentencia de segunda instancia o casación</w:t>
            </w:r>
          </w:p>
        </w:tc>
        <w:tc>
          <w:tcPr>
            <w:tcW w:w="178" w:type="pct"/>
            <w:shd w:val="clear" w:color="FF99CC" w:fill="FF8080"/>
            <w:vAlign w:val="center"/>
            <w:hideMark/>
          </w:tcPr>
          <w:p w14:paraId="0BBB4EA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2BC538C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95</w:t>
            </w:r>
          </w:p>
        </w:tc>
        <w:tc>
          <w:tcPr>
            <w:tcW w:w="213" w:type="pct"/>
            <w:shd w:val="clear" w:color="FFFFCC" w:fill="FFFF99"/>
            <w:vAlign w:val="center"/>
            <w:hideMark/>
          </w:tcPr>
          <w:p w14:paraId="481F270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86</w:t>
            </w:r>
          </w:p>
        </w:tc>
        <w:tc>
          <w:tcPr>
            <w:tcW w:w="208" w:type="pct"/>
            <w:shd w:val="clear" w:color="FFFFCC" w:fill="FFFF99"/>
            <w:vAlign w:val="center"/>
            <w:hideMark/>
          </w:tcPr>
          <w:p w14:paraId="6E28BBA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2BB4423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95</w:t>
            </w:r>
          </w:p>
        </w:tc>
        <w:tc>
          <w:tcPr>
            <w:tcW w:w="157" w:type="pct"/>
            <w:shd w:val="clear" w:color="33CCCC" w:fill="C6E0B4"/>
            <w:vAlign w:val="center"/>
            <w:hideMark/>
          </w:tcPr>
          <w:p w14:paraId="3D5D5A0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41547A4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86</w:t>
            </w:r>
          </w:p>
        </w:tc>
      </w:tr>
      <w:tr w:rsidR="003D387C" w:rsidRPr="003D387C" w14:paraId="58F152EA" w14:textId="77777777" w:rsidTr="004B6036">
        <w:trPr>
          <w:trHeight w:val="260"/>
        </w:trPr>
        <w:tc>
          <w:tcPr>
            <w:tcW w:w="507" w:type="pct"/>
            <w:vMerge/>
            <w:vAlign w:val="center"/>
            <w:hideMark/>
          </w:tcPr>
          <w:p w14:paraId="325EA82B"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746658DA"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156B9E3B" w14:textId="77777777" w:rsidR="001A6E91" w:rsidRPr="004B6036" w:rsidRDefault="001A6E91" w:rsidP="001A6E91">
            <w:pPr>
              <w:spacing w:after="0" w:line="240" w:lineRule="auto"/>
              <w:rPr>
                <w:rFonts w:ascii="Cambria" w:eastAsia="Times New Roman" w:hAnsi="Cambria" w:cs="Calibri"/>
                <w:b/>
                <w:bCs/>
                <w:i/>
                <w:iCs/>
                <w:sz w:val="12"/>
                <w:szCs w:val="12"/>
                <w:lang w:eastAsia="es-CR"/>
              </w:rPr>
            </w:pPr>
          </w:p>
        </w:tc>
        <w:tc>
          <w:tcPr>
            <w:tcW w:w="889" w:type="pct"/>
            <w:vMerge/>
            <w:vAlign w:val="center"/>
            <w:hideMark/>
          </w:tcPr>
          <w:p w14:paraId="5CA1FACC"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1495" w:type="pct"/>
            <w:gridSpan w:val="3"/>
            <w:vMerge/>
            <w:vAlign w:val="center"/>
            <w:hideMark/>
          </w:tcPr>
          <w:p w14:paraId="4D1F5B3F"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1371" w:type="pct"/>
            <w:gridSpan w:val="7"/>
            <w:shd w:val="clear" w:color="FF99CC" w:fill="FFFFFF"/>
            <w:vAlign w:val="center"/>
            <w:hideMark/>
          </w:tcPr>
          <w:p w14:paraId="46FC526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Fecha de pase a fallo más antigua </w:t>
            </w:r>
          </w:p>
        </w:tc>
      </w:tr>
      <w:tr w:rsidR="00407399" w:rsidRPr="003D387C" w14:paraId="6904AD23" w14:textId="77777777" w:rsidTr="00390FF5">
        <w:trPr>
          <w:trHeight w:val="250"/>
        </w:trPr>
        <w:tc>
          <w:tcPr>
            <w:tcW w:w="507" w:type="pct"/>
            <w:vMerge/>
            <w:vAlign w:val="center"/>
            <w:hideMark/>
          </w:tcPr>
          <w:p w14:paraId="3D06C8A1"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484B985D"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1720F364" w14:textId="77777777" w:rsidR="001A6E91" w:rsidRPr="004B6036" w:rsidRDefault="001A6E91" w:rsidP="001A6E91">
            <w:pPr>
              <w:spacing w:after="0" w:line="240" w:lineRule="auto"/>
              <w:rPr>
                <w:rFonts w:ascii="Cambria" w:eastAsia="Times New Roman" w:hAnsi="Cambria" w:cs="Calibri"/>
                <w:b/>
                <w:bCs/>
                <w:i/>
                <w:iCs/>
                <w:sz w:val="12"/>
                <w:szCs w:val="12"/>
                <w:lang w:eastAsia="es-CR"/>
              </w:rPr>
            </w:pPr>
          </w:p>
        </w:tc>
        <w:tc>
          <w:tcPr>
            <w:tcW w:w="2384" w:type="pct"/>
            <w:gridSpan w:val="4"/>
            <w:vMerge w:val="restart"/>
            <w:shd w:val="clear" w:color="CCFFFF" w:fill="DDEBF7"/>
            <w:vAlign w:val="center"/>
            <w:hideMark/>
          </w:tcPr>
          <w:p w14:paraId="6626015E"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Laboral</w:t>
            </w:r>
          </w:p>
        </w:tc>
        <w:tc>
          <w:tcPr>
            <w:tcW w:w="178" w:type="pct"/>
            <w:shd w:val="clear" w:color="FF99CC" w:fill="FF8080"/>
            <w:vAlign w:val="center"/>
            <w:hideMark/>
          </w:tcPr>
          <w:p w14:paraId="5B0F5C4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7753BD3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21</w:t>
            </w:r>
          </w:p>
        </w:tc>
        <w:tc>
          <w:tcPr>
            <w:tcW w:w="213" w:type="pct"/>
            <w:shd w:val="clear" w:color="FFFFCC" w:fill="FFFF99"/>
            <w:vAlign w:val="center"/>
            <w:hideMark/>
          </w:tcPr>
          <w:p w14:paraId="628E2A3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15</w:t>
            </w:r>
          </w:p>
        </w:tc>
        <w:tc>
          <w:tcPr>
            <w:tcW w:w="208" w:type="pct"/>
            <w:shd w:val="clear" w:color="FFFFCC" w:fill="FFFF99"/>
            <w:vAlign w:val="center"/>
            <w:hideMark/>
          </w:tcPr>
          <w:p w14:paraId="02F64DF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3E1A736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21</w:t>
            </w:r>
          </w:p>
        </w:tc>
        <w:tc>
          <w:tcPr>
            <w:tcW w:w="157" w:type="pct"/>
            <w:shd w:val="clear" w:color="33CCCC" w:fill="C6E0B4"/>
            <w:vAlign w:val="center"/>
            <w:hideMark/>
          </w:tcPr>
          <w:p w14:paraId="17C9C20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3225A3A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15</w:t>
            </w:r>
          </w:p>
        </w:tc>
      </w:tr>
      <w:tr w:rsidR="003D387C" w:rsidRPr="003D387C" w14:paraId="365488CC" w14:textId="77777777" w:rsidTr="004B6036">
        <w:trPr>
          <w:trHeight w:val="265"/>
        </w:trPr>
        <w:tc>
          <w:tcPr>
            <w:tcW w:w="507" w:type="pct"/>
            <w:vMerge/>
            <w:vAlign w:val="center"/>
            <w:hideMark/>
          </w:tcPr>
          <w:p w14:paraId="737305A2"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1EAC039A"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4812E637" w14:textId="77777777" w:rsidR="001A6E91" w:rsidRPr="004B6036" w:rsidRDefault="001A6E91" w:rsidP="001A6E91">
            <w:pPr>
              <w:spacing w:after="0" w:line="240" w:lineRule="auto"/>
              <w:rPr>
                <w:rFonts w:ascii="Cambria" w:eastAsia="Times New Roman" w:hAnsi="Cambria" w:cs="Calibri"/>
                <w:b/>
                <w:bCs/>
                <w:i/>
                <w:iCs/>
                <w:sz w:val="12"/>
                <w:szCs w:val="12"/>
                <w:lang w:eastAsia="es-CR"/>
              </w:rPr>
            </w:pPr>
          </w:p>
        </w:tc>
        <w:tc>
          <w:tcPr>
            <w:tcW w:w="2384" w:type="pct"/>
            <w:gridSpan w:val="4"/>
            <w:vMerge/>
            <w:vAlign w:val="center"/>
            <w:hideMark/>
          </w:tcPr>
          <w:p w14:paraId="18169976"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1371" w:type="pct"/>
            <w:gridSpan w:val="7"/>
            <w:shd w:val="clear" w:color="FF99CC" w:fill="FFFFFF"/>
            <w:vAlign w:val="center"/>
            <w:hideMark/>
          </w:tcPr>
          <w:p w14:paraId="3609F04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Fecha de pase a fallo más antigua </w:t>
            </w:r>
          </w:p>
        </w:tc>
      </w:tr>
      <w:tr w:rsidR="00DF7D2C" w:rsidRPr="003D387C" w14:paraId="08EE5FFF" w14:textId="77777777" w:rsidTr="00390FF5">
        <w:trPr>
          <w:trHeight w:val="250"/>
        </w:trPr>
        <w:tc>
          <w:tcPr>
            <w:tcW w:w="507" w:type="pct"/>
            <w:vMerge/>
            <w:vAlign w:val="center"/>
            <w:hideMark/>
          </w:tcPr>
          <w:p w14:paraId="6410D73E"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751E5D42"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restart"/>
            <w:shd w:val="clear" w:color="FFFFFF" w:fill="DDEBF7"/>
            <w:vAlign w:val="center"/>
            <w:hideMark/>
          </w:tcPr>
          <w:p w14:paraId="28EC90DC" w14:textId="77777777" w:rsidR="001A6E91" w:rsidRPr="004B6036" w:rsidRDefault="001A6E91" w:rsidP="001A6E91">
            <w:pPr>
              <w:spacing w:after="0" w:line="240" w:lineRule="auto"/>
              <w:jc w:val="center"/>
              <w:rPr>
                <w:rFonts w:ascii="Cambria" w:eastAsia="Times New Roman" w:hAnsi="Cambria" w:cs="Calibri"/>
                <w:b/>
                <w:bCs/>
                <w:i/>
                <w:iCs/>
                <w:sz w:val="12"/>
                <w:szCs w:val="12"/>
                <w:lang w:eastAsia="es-CR"/>
              </w:rPr>
            </w:pPr>
            <w:r w:rsidRPr="004B6036">
              <w:rPr>
                <w:rFonts w:ascii="Cambria" w:eastAsia="Times New Roman" w:hAnsi="Cambria" w:cs="Calibri"/>
                <w:b/>
                <w:bCs/>
                <w:i/>
                <w:iCs/>
                <w:sz w:val="12"/>
                <w:szCs w:val="12"/>
                <w:lang w:eastAsia="es-CR"/>
              </w:rPr>
              <w:t>Juez(a) 3</w:t>
            </w:r>
          </w:p>
        </w:tc>
        <w:tc>
          <w:tcPr>
            <w:tcW w:w="889" w:type="pct"/>
            <w:vMerge w:val="restart"/>
            <w:shd w:val="clear" w:color="CCFFFF" w:fill="BDD7EE"/>
            <w:vAlign w:val="center"/>
            <w:hideMark/>
          </w:tcPr>
          <w:p w14:paraId="167E0059"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Civil </w:t>
            </w:r>
          </w:p>
        </w:tc>
        <w:tc>
          <w:tcPr>
            <w:tcW w:w="1495" w:type="pct"/>
            <w:gridSpan w:val="3"/>
            <w:vMerge w:val="restart"/>
            <w:shd w:val="clear" w:color="CCFFFF" w:fill="BDD7EE"/>
            <w:vAlign w:val="center"/>
            <w:hideMark/>
          </w:tcPr>
          <w:p w14:paraId="7AE00130"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Sentencia de apelación de resolución interlocutoria </w:t>
            </w:r>
          </w:p>
        </w:tc>
        <w:tc>
          <w:tcPr>
            <w:tcW w:w="178" w:type="pct"/>
            <w:shd w:val="clear" w:color="FF99CC" w:fill="FF8080"/>
            <w:vAlign w:val="center"/>
            <w:hideMark/>
          </w:tcPr>
          <w:p w14:paraId="7E9A8AB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09C9820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32</w:t>
            </w:r>
          </w:p>
        </w:tc>
        <w:tc>
          <w:tcPr>
            <w:tcW w:w="213" w:type="pct"/>
            <w:shd w:val="clear" w:color="FFFFCC" w:fill="FFFF99"/>
            <w:vAlign w:val="center"/>
            <w:hideMark/>
          </w:tcPr>
          <w:p w14:paraId="128EFD4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29</w:t>
            </w:r>
          </w:p>
        </w:tc>
        <w:tc>
          <w:tcPr>
            <w:tcW w:w="208" w:type="pct"/>
            <w:shd w:val="clear" w:color="FFFFCC" w:fill="FFFF99"/>
            <w:vAlign w:val="center"/>
            <w:hideMark/>
          </w:tcPr>
          <w:p w14:paraId="1297240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4B4DB97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32</w:t>
            </w:r>
          </w:p>
        </w:tc>
        <w:tc>
          <w:tcPr>
            <w:tcW w:w="157" w:type="pct"/>
            <w:shd w:val="clear" w:color="33CCCC" w:fill="C6E0B4"/>
            <w:vAlign w:val="center"/>
            <w:hideMark/>
          </w:tcPr>
          <w:p w14:paraId="7FD2034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36D4488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29</w:t>
            </w:r>
          </w:p>
        </w:tc>
      </w:tr>
      <w:tr w:rsidR="003D387C" w:rsidRPr="003D387C" w14:paraId="2BD698A3" w14:textId="77777777" w:rsidTr="004B6036">
        <w:trPr>
          <w:trHeight w:val="265"/>
        </w:trPr>
        <w:tc>
          <w:tcPr>
            <w:tcW w:w="507" w:type="pct"/>
            <w:vMerge/>
            <w:vAlign w:val="center"/>
            <w:hideMark/>
          </w:tcPr>
          <w:p w14:paraId="3BE57907"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6D60CEA4"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35E46642" w14:textId="77777777" w:rsidR="001A6E91" w:rsidRPr="004B6036" w:rsidRDefault="001A6E91" w:rsidP="001A6E91">
            <w:pPr>
              <w:spacing w:after="0" w:line="240" w:lineRule="auto"/>
              <w:rPr>
                <w:rFonts w:ascii="Cambria" w:eastAsia="Times New Roman" w:hAnsi="Cambria" w:cs="Calibri"/>
                <w:b/>
                <w:bCs/>
                <w:i/>
                <w:iCs/>
                <w:sz w:val="12"/>
                <w:szCs w:val="12"/>
                <w:lang w:eastAsia="es-CR"/>
              </w:rPr>
            </w:pPr>
          </w:p>
        </w:tc>
        <w:tc>
          <w:tcPr>
            <w:tcW w:w="889" w:type="pct"/>
            <w:vMerge/>
            <w:vAlign w:val="center"/>
            <w:hideMark/>
          </w:tcPr>
          <w:p w14:paraId="1633D569"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1495" w:type="pct"/>
            <w:gridSpan w:val="3"/>
            <w:vMerge/>
            <w:vAlign w:val="center"/>
            <w:hideMark/>
          </w:tcPr>
          <w:p w14:paraId="5D8ED20B"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1371" w:type="pct"/>
            <w:gridSpan w:val="7"/>
            <w:shd w:val="clear" w:color="FF99CC" w:fill="FFFFFF"/>
            <w:vAlign w:val="center"/>
            <w:hideMark/>
          </w:tcPr>
          <w:p w14:paraId="4B1CD2F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Fecha de pase a fallo más antigua </w:t>
            </w:r>
          </w:p>
        </w:tc>
      </w:tr>
      <w:tr w:rsidR="00DF7D2C" w:rsidRPr="003D387C" w14:paraId="240290EC" w14:textId="77777777" w:rsidTr="00390FF5">
        <w:trPr>
          <w:trHeight w:val="265"/>
        </w:trPr>
        <w:tc>
          <w:tcPr>
            <w:tcW w:w="507" w:type="pct"/>
            <w:vMerge/>
            <w:vAlign w:val="center"/>
            <w:hideMark/>
          </w:tcPr>
          <w:p w14:paraId="62AA7A8E"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412C9585"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6670D36D" w14:textId="77777777" w:rsidR="001A6E91" w:rsidRPr="004B6036" w:rsidRDefault="001A6E91" w:rsidP="001A6E91">
            <w:pPr>
              <w:spacing w:after="0" w:line="240" w:lineRule="auto"/>
              <w:rPr>
                <w:rFonts w:ascii="Cambria" w:eastAsia="Times New Roman" w:hAnsi="Cambria" w:cs="Calibri"/>
                <w:b/>
                <w:bCs/>
                <w:i/>
                <w:iCs/>
                <w:sz w:val="12"/>
                <w:szCs w:val="12"/>
                <w:lang w:eastAsia="es-CR"/>
              </w:rPr>
            </w:pPr>
          </w:p>
        </w:tc>
        <w:tc>
          <w:tcPr>
            <w:tcW w:w="889" w:type="pct"/>
            <w:vMerge/>
            <w:vAlign w:val="center"/>
            <w:hideMark/>
          </w:tcPr>
          <w:p w14:paraId="116BDAB6"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1495" w:type="pct"/>
            <w:gridSpan w:val="3"/>
            <w:vMerge w:val="restart"/>
            <w:shd w:val="clear" w:color="CCFFFF" w:fill="BDD7EE"/>
            <w:vAlign w:val="center"/>
            <w:hideMark/>
          </w:tcPr>
          <w:p w14:paraId="71B230FC"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Sentencia de segunda instancia o casación</w:t>
            </w:r>
          </w:p>
        </w:tc>
        <w:tc>
          <w:tcPr>
            <w:tcW w:w="178" w:type="pct"/>
            <w:shd w:val="clear" w:color="FF99CC" w:fill="FF8080"/>
            <w:vAlign w:val="center"/>
            <w:hideMark/>
          </w:tcPr>
          <w:p w14:paraId="5C0E2E9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271DC77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95</w:t>
            </w:r>
          </w:p>
        </w:tc>
        <w:tc>
          <w:tcPr>
            <w:tcW w:w="213" w:type="pct"/>
            <w:shd w:val="clear" w:color="FFFFCC" w:fill="FFFF99"/>
            <w:vAlign w:val="center"/>
            <w:hideMark/>
          </w:tcPr>
          <w:p w14:paraId="3C7B23E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86</w:t>
            </w:r>
          </w:p>
        </w:tc>
        <w:tc>
          <w:tcPr>
            <w:tcW w:w="208" w:type="pct"/>
            <w:shd w:val="clear" w:color="FFFFCC" w:fill="FFFF99"/>
            <w:vAlign w:val="center"/>
            <w:hideMark/>
          </w:tcPr>
          <w:p w14:paraId="5B1D742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13FD626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95</w:t>
            </w:r>
          </w:p>
        </w:tc>
        <w:tc>
          <w:tcPr>
            <w:tcW w:w="157" w:type="pct"/>
            <w:shd w:val="clear" w:color="33CCCC" w:fill="C6E0B4"/>
            <w:vAlign w:val="center"/>
            <w:hideMark/>
          </w:tcPr>
          <w:p w14:paraId="7AB483F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7A36D12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86</w:t>
            </w:r>
          </w:p>
        </w:tc>
      </w:tr>
      <w:tr w:rsidR="003D387C" w:rsidRPr="003D387C" w14:paraId="4BCA992E" w14:textId="77777777" w:rsidTr="004B6036">
        <w:trPr>
          <w:trHeight w:val="265"/>
        </w:trPr>
        <w:tc>
          <w:tcPr>
            <w:tcW w:w="507" w:type="pct"/>
            <w:vMerge/>
            <w:vAlign w:val="center"/>
            <w:hideMark/>
          </w:tcPr>
          <w:p w14:paraId="117E79CA"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3C12FBDF"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3F556A69" w14:textId="77777777" w:rsidR="001A6E91" w:rsidRPr="004B6036" w:rsidRDefault="001A6E91" w:rsidP="001A6E91">
            <w:pPr>
              <w:spacing w:after="0" w:line="240" w:lineRule="auto"/>
              <w:rPr>
                <w:rFonts w:ascii="Cambria" w:eastAsia="Times New Roman" w:hAnsi="Cambria" w:cs="Calibri"/>
                <w:b/>
                <w:bCs/>
                <w:i/>
                <w:iCs/>
                <w:sz w:val="12"/>
                <w:szCs w:val="12"/>
                <w:lang w:eastAsia="es-CR"/>
              </w:rPr>
            </w:pPr>
          </w:p>
        </w:tc>
        <w:tc>
          <w:tcPr>
            <w:tcW w:w="889" w:type="pct"/>
            <w:vMerge/>
            <w:vAlign w:val="center"/>
            <w:hideMark/>
          </w:tcPr>
          <w:p w14:paraId="4AE01429"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1495" w:type="pct"/>
            <w:gridSpan w:val="3"/>
            <w:vMerge/>
            <w:vAlign w:val="center"/>
            <w:hideMark/>
          </w:tcPr>
          <w:p w14:paraId="117256D1"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1371" w:type="pct"/>
            <w:gridSpan w:val="7"/>
            <w:shd w:val="clear" w:color="FF99CC" w:fill="FFFFFF"/>
            <w:vAlign w:val="center"/>
            <w:hideMark/>
          </w:tcPr>
          <w:p w14:paraId="6A79554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Fecha de pase a fallo más antigua </w:t>
            </w:r>
          </w:p>
        </w:tc>
      </w:tr>
      <w:tr w:rsidR="00407399" w:rsidRPr="003D387C" w14:paraId="3332F1D0" w14:textId="77777777" w:rsidTr="00390FF5">
        <w:trPr>
          <w:trHeight w:val="250"/>
        </w:trPr>
        <w:tc>
          <w:tcPr>
            <w:tcW w:w="507" w:type="pct"/>
            <w:vMerge/>
            <w:vAlign w:val="center"/>
            <w:hideMark/>
          </w:tcPr>
          <w:p w14:paraId="36635F9D"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1D57E513"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4FFBD7FA" w14:textId="77777777" w:rsidR="001A6E91" w:rsidRPr="004B6036" w:rsidRDefault="001A6E91" w:rsidP="001A6E91">
            <w:pPr>
              <w:spacing w:after="0" w:line="240" w:lineRule="auto"/>
              <w:rPr>
                <w:rFonts w:ascii="Cambria" w:eastAsia="Times New Roman" w:hAnsi="Cambria" w:cs="Calibri"/>
                <w:b/>
                <w:bCs/>
                <w:i/>
                <w:iCs/>
                <w:sz w:val="12"/>
                <w:szCs w:val="12"/>
                <w:lang w:eastAsia="es-CR"/>
              </w:rPr>
            </w:pPr>
          </w:p>
        </w:tc>
        <w:tc>
          <w:tcPr>
            <w:tcW w:w="2384" w:type="pct"/>
            <w:gridSpan w:val="4"/>
            <w:vMerge w:val="restart"/>
            <w:shd w:val="clear" w:color="CCFFFF" w:fill="DDEBF7"/>
            <w:vAlign w:val="center"/>
            <w:hideMark/>
          </w:tcPr>
          <w:p w14:paraId="0B997601"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Laboral</w:t>
            </w:r>
          </w:p>
        </w:tc>
        <w:tc>
          <w:tcPr>
            <w:tcW w:w="178" w:type="pct"/>
            <w:shd w:val="clear" w:color="FF99CC" w:fill="FF8080"/>
            <w:vAlign w:val="center"/>
            <w:hideMark/>
          </w:tcPr>
          <w:p w14:paraId="1950B23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47D1EE7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21</w:t>
            </w:r>
          </w:p>
        </w:tc>
        <w:tc>
          <w:tcPr>
            <w:tcW w:w="213" w:type="pct"/>
            <w:shd w:val="clear" w:color="FFFFCC" w:fill="FFFF99"/>
            <w:vAlign w:val="center"/>
            <w:hideMark/>
          </w:tcPr>
          <w:p w14:paraId="5BB699E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15</w:t>
            </w:r>
          </w:p>
        </w:tc>
        <w:tc>
          <w:tcPr>
            <w:tcW w:w="208" w:type="pct"/>
            <w:shd w:val="clear" w:color="FFFFCC" w:fill="FFFF99"/>
            <w:vAlign w:val="center"/>
            <w:hideMark/>
          </w:tcPr>
          <w:p w14:paraId="073A4B9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6272CD8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21</w:t>
            </w:r>
          </w:p>
        </w:tc>
        <w:tc>
          <w:tcPr>
            <w:tcW w:w="157" w:type="pct"/>
            <w:shd w:val="clear" w:color="33CCCC" w:fill="C6E0B4"/>
            <w:vAlign w:val="center"/>
            <w:hideMark/>
          </w:tcPr>
          <w:p w14:paraId="6944711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01B260A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15</w:t>
            </w:r>
          </w:p>
        </w:tc>
      </w:tr>
      <w:tr w:rsidR="003D387C" w:rsidRPr="003D387C" w14:paraId="51F3A0DB" w14:textId="77777777" w:rsidTr="004B6036">
        <w:trPr>
          <w:trHeight w:val="265"/>
        </w:trPr>
        <w:tc>
          <w:tcPr>
            <w:tcW w:w="507" w:type="pct"/>
            <w:vMerge/>
            <w:vAlign w:val="center"/>
            <w:hideMark/>
          </w:tcPr>
          <w:p w14:paraId="447377CE"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1CC7F002"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3D4F2BDB" w14:textId="77777777" w:rsidR="001A6E91" w:rsidRPr="004B6036" w:rsidRDefault="001A6E91" w:rsidP="001A6E91">
            <w:pPr>
              <w:spacing w:after="0" w:line="240" w:lineRule="auto"/>
              <w:rPr>
                <w:rFonts w:ascii="Cambria" w:eastAsia="Times New Roman" w:hAnsi="Cambria" w:cs="Calibri"/>
                <w:b/>
                <w:bCs/>
                <w:i/>
                <w:iCs/>
                <w:sz w:val="12"/>
                <w:szCs w:val="12"/>
                <w:lang w:eastAsia="es-CR"/>
              </w:rPr>
            </w:pPr>
          </w:p>
        </w:tc>
        <w:tc>
          <w:tcPr>
            <w:tcW w:w="2384" w:type="pct"/>
            <w:gridSpan w:val="4"/>
            <w:vMerge/>
            <w:vAlign w:val="center"/>
            <w:hideMark/>
          </w:tcPr>
          <w:p w14:paraId="21525411"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1371" w:type="pct"/>
            <w:gridSpan w:val="7"/>
            <w:shd w:val="clear" w:color="FF99CC" w:fill="FFFFFF"/>
            <w:vAlign w:val="center"/>
            <w:hideMark/>
          </w:tcPr>
          <w:p w14:paraId="6E6FCC0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Fecha de pase a fallo más antigua </w:t>
            </w:r>
          </w:p>
        </w:tc>
      </w:tr>
      <w:tr w:rsidR="00390FF5" w:rsidRPr="003D387C" w14:paraId="16B7F94C" w14:textId="77777777" w:rsidTr="00390FF5">
        <w:trPr>
          <w:trHeight w:val="2413"/>
        </w:trPr>
        <w:tc>
          <w:tcPr>
            <w:tcW w:w="507" w:type="pct"/>
            <w:vMerge/>
            <w:vAlign w:val="center"/>
            <w:hideMark/>
          </w:tcPr>
          <w:p w14:paraId="0A6EC9E7"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shd w:val="clear" w:color="33CCCC" w:fill="FFFFFF"/>
            <w:vAlign w:val="center"/>
            <w:hideMark/>
          </w:tcPr>
          <w:p w14:paraId="57445C50"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6</w:t>
            </w:r>
          </w:p>
        </w:tc>
        <w:tc>
          <w:tcPr>
            <w:tcW w:w="530" w:type="pct"/>
            <w:shd w:val="clear" w:color="33CCCC" w:fill="FFFFFF"/>
            <w:vAlign w:val="center"/>
            <w:hideMark/>
          </w:tcPr>
          <w:p w14:paraId="74964825"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Cantidad de escritos pendientes</w:t>
            </w:r>
          </w:p>
        </w:tc>
        <w:tc>
          <w:tcPr>
            <w:tcW w:w="889" w:type="pct"/>
            <w:shd w:val="clear" w:color="33CCCC" w:fill="FFFFFF"/>
            <w:vAlign w:val="center"/>
            <w:hideMark/>
          </w:tcPr>
          <w:p w14:paraId="445AA089"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Cantidad de escritos pendientes de resolver al finalizar el mes </w:t>
            </w:r>
          </w:p>
        </w:tc>
        <w:tc>
          <w:tcPr>
            <w:tcW w:w="427" w:type="pct"/>
            <w:shd w:val="clear" w:color="CCFFFF" w:fill="FFFFFF"/>
            <w:vAlign w:val="center"/>
            <w:hideMark/>
          </w:tcPr>
          <w:p w14:paraId="63CD9397"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Mensual</w:t>
            </w:r>
          </w:p>
        </w:tc>
        <w:tc>
          <w:tcPr>
            <w:tcW w:w="465" w:type="pct"/>
            <w:shd w:val="clear" w:color="CCFFFF" w:fill="FFFFFF"/>
            <w:vAlign w:val="center"/>
            <w:hideMark/>
          </w:tcPr>
          <w:p w14:paraId="60A3F04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Coordinadora o Coordinador Judicial</w:t>
            </w:r>
          </w:p>
        </w:tc>
        <w:tc>
          <w:tcPr>
            <w:tcW w:w="603" w:type="pct"/>
            <w:shd w:val="clear" w:color="CCFFFF" w:fill="FFFFFF"/>
            <w:vAlign w:val="center"/>
            <w:hideMark/>
          </w:tcPr>
          <w:p w14:paraId="0C46C21F"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Se obtiene de la bandeja de Escritos del Escritorio Virtual</w:t>
            </w:r>
            <w:r w:rsidRPr="004B6036">
              <w:rPr>
                <w:rFonts w:ascii="Cambria" w:eastAsia="Times New Roman" w:hAnsi="Cambria" w:cs="Calibri"/>
                <w:sz w:val="12"/>
                <w:szCs w:val="12"/>
                <w:lang w:eastAsia="es-CR"/>
              </w:rPr>
              <w:br/>
              <w:t>Se deben revisar todos los Escritos que se encuentran Tramitándose, como los que se encuentran pendientes de distribuir</w:t>
            </w:r>
            <w:r w:rsidRPr="004B6036">
              <w:rPr>
                <w:rFonts w:ascii="Cambria" w:eastAsia="Times New Roman" w:hAnsi="Cambria" w:cs="Calibri"/>
                <w:sz w:val="12"/>
                <w:szCs w:val="12"/>
                <w:lang w:eastAsia="es-CR"/>
              </w:rPr>
              <w:br/>
              <w:t xml:space="preserve">Todas la Ubicaciones </w:t>
            </w:r>
            <w:r w:rsidRPr="004B6036">
              <w:rPr>
                <w:rFonts w:ascii="Cambria" w:eastAsia="Times New Roman" w:hAnsi="Cambria" w:cs="Calibri"/>
                <w:sz w:val="12"/>
                <w:szCs w:val="12"/>
                <w:lang w:eastAsia="es-CR"/>
              </w:rPr>
              <w:br/>
              <w:t xml:space="preserve">Todos los Auxiliares </w:t>
            </w:r>
            <w:r w:rsidRPr="004B6036">
              <w:rPr>
                <w:rFonts w:ascii="Cambria" w:eastAsia="Times New Roman" w:hAnsi="Cambria" w:cs="Calibri"/>
                <w:sz w:val="12"/>
                <w:szCs w:val="12"/>
                <w:lang w:eastAsia="es-CR"/>
              </w:rPr>
              <w:br/>
            </w:r>
            <w:r w:rsidRPr="004B6036">
              <w:rPr>
                <w:rFonts w:ascii="Cambria" w:eastAsia="Times New Roman" w:hAnsi="Cambria" w:cs="Calibri"/>
                <w:color w:val="FF0000"/>
                <w:sz w:val="12"/>
                <w:szCs w:val="12"/>
                <w:lang w:eastAsia="es-CR"/>
              </w:rPr>
              <w:t>Estado: En Trámite</w:t>
            </w:r>
          </w:p>
        </w:tc>
        <w:tc>
          <w:tcPr>
            <w:tcW w:w="178" w:type="pct"/>
            <w:shd w:val="clear" w:color="FF99CC" w:fill="161616"/>
            <w:vAlign w:val="center"/>
            <w:hideMark/>
          </w:tcPr>
          <w:p w14:paraId="1191D45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205" w:type="pct"/>
            <w:shd w:val="clear" w:color="FF99CC" w:fill="161616"/>
            <w:vAlign w:val="center"/>
            <w:hideMark/>
          </w:tcPr>
          <w:p w14:paraId="228ACB9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213" w:type="pct"/>
            <w:shd w:val="clear" w:color="FFFFCC" w:fill="161616"/>
            <w:vAlign w:val="center"/>
            <w:hideMark/>
          </w:tcPr>
          <w:p w14:paraId="41B23BF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208" w:type="pct"/>
            <w:shd w:val="clear" w:color="FFFFCC" w:fill="161616"/>
            <w:vAlign w:val="center"/>
            <w:hideMark/>
          </w:tcPr>
          <w:p w14:paraId="6DB3958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88" w:type="pct"/>
            <w:shd w:val="clear" w:color="FFFFCC" w:fill="161616"/>
            <w:vAlign w:val="center"/>
            <w:hideMark/>
          </w:tcPr>
          <w:p w14:paraId="1D7D10C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57" w:type="pct"/>
            <w:shd w:val="clear" w:color="33CCCC" w:fill="161616"/>
            <w:vAlign w:val="center"/>
            <w:hideMark/>
          </w:tcPr>
          <w:p w14:paraId="61F8570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222" w:type="pct"/>
            <w:shd w:val="clear" w:color="33CCCC" w:fill="161616"/>
            <w:noWrap/>
            <w:vAlign w:val="center"/>
            <w:hideMark/>
          </w:tcPr>
          <w:p w14:paraId="0F2EEFF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r>
      <w:tr w:rsidR="00390FF5" w:rsidRPr="003D387C" w14:paraId="60DE0CD2" w14:textId="77777777" w:rsidTr="00390FF5">
        <w:trPr>
          <w:trHeight w:val="1595"/>
        </w:trPr>
        <w:tc>
          <w:tcPr>
            <w:tcW w:w="507" w:type="pct"/>
            <w:vMerge/>
            <w:vAlign w:val="center"/>
            <w:hideMark/>
          </w:tcPr>
          <w:p w14:paraId="2AE39F0B"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restart"/>
            <w:shd w:val="clear" w:color="33CCCC" w:fill="FFFFFF"/>
            <w:vAlign w:val="center"/>
            <w:hideMark/>
          </w:tcPr>
          <w:p w14:paraId="795938F1"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7</w:t>
            </w:r>
          </w:p>
        </w:tc>
        <w:tc>
          <w:tcPr>
            <w:tcW w:w="530" w:type="pct"/>
            <w:vMerge w:val="restart"/>
            <w:shd w:val="clear" w:color="33CCCC" w:fill="FFFFFF"/>
            <w:vAlign w:val="center"/>
            <w:hideMark/>
          </w:tcPr>
          <w:p w14:paraId="6EEA6E7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Plazo para resolver escritos</w:t>
            </w:r>
          </w:p>
        </w:tc>
        <w:tc>
          <w:tcPr>
            <w:tcW w:w="889" w:type="pct"/>
            <w:vMerge w:val="restart"/>
            <w:shd w:val="clear" w:color="33CCCC" w:fill="FFFFFF"/>
            <w:vAlign w:val="center"/>
            <w:hideMark/>
          </w:tcPr>
          <w:p w14:paraId="329D6B7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(Fecha actual- fecha del escrito más antiguo pendiente de resolver)</w:t>
            </w:r>
          </w:p>
        </w:tc>
        <w:tc>
          <w:tcPr>
            <w:tcW w:w="427" w:type="pct"/>
            <w:vMerge w:val="restart"/>
            <w:shd w:val="clear" w:color="33CCCC" w:fill="FFFFFF"/>
            <w:vAlign w:val="center"/>
            <w:hideMark/>
          </w:tcPr>
          <w:p w14:paraId="5C311ED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Mensual</w:t>
            </w:r>
          </w:p>
        </w:tc>
        <w:tc>
          <w:tcPr>
            <w:tcW w:w="465" w:type="pct"/>
            <w:vMerge w:val="restart"/>
            <w:shd w:val="clear" w:color="33CCCC" w:fill="FFFFFF"/>
            <w:vAlign w:val="center"/>
            <w:hideMark/>
          </w:tcPr>
          <w:p w14:paraId="6378A05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Coordinadora o Coordinador Judicial</w:t>
            </w:r>
          </w:p>
        </w:tc>
        <w:tc>
          <w:tcPr>
            <w:tcW w:w="603" w:type="pct"/>
            <w:vMerge w:val="restart"/>
            <w:shd w:val="clear" w:color="33CCCC" w:fill="FFFFFF"/>
            <w:vAlign w:val="center"/>
            <w:hideMark/>
          </w:tcPr>
          <w:p w14:paraId="25AC87C5" w14:textId="58D2D66A"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Se </w:t>
            </w:r>
            <w:r w:rsidR="00390FF5" w:rsidRPr="003D387C">
              <w:rPr>
                <w:rFonts w:ascii="Cambria" w:eastAsia="Times New Roman" w:hAnsi="Cambria" w:cs="Calibri"/>
                <w:sz w:val="12"/>
                <w:szCs w:val="12"/>
                <w:lang w:eastAsia="es-CR"/>
              </w:rPr>
              <w:t>obtiene</w:t>
            </w:r>
            <w:r w:rsidRPr="004B6036">
              <w:rPr>
                <w:rFonts w:ascii="Cambria" w:eastAsia="Times New Roman" w:hAnsi="Cambria" w:cs="Calibri"/>
                <w:sz w:val="12"/>
                <w:szCs w:val="12"/>
                <w:lang w:eastAsia="es-CR"/>
              </w:rPr>
              <w:t xml:space="preserve"> del buzón de escritos del Escritorio Virtual, se debe contemplar todas las materias.</w:t>
            </w:r>
            <w:r w:rsidRPr="004B6036">
              <w:rPr>
                <w:rFonts w:ascii="Cambria" w:eastAsia="Times New Roman" w:hAnsi="Cambria" w:cs="Calibri"/>
                <w:sz w:val="12"/>
                <w:szCs w:val="12"/>
                <w:lang w:eastAsia="es-CR"/>
              </w:rPr>
              <w:br/>
              <w:t xml:space="preserve">En caso de despachos no </w:t>
            </w:r>
            <w:r w:rsidR="00390FF5" w:rsidRPr="003D387C">
              <w:rPr>
                <w:rFonts w:ascii="Cambria" w:eastAsia="Times New Roman" w:hAnsi="Cambria" w:cs="Calibri"/>
                <w:sz w:val="12"/>
                <w:szCs w:val="12"/>
                <w:lang w:eastAsia="es-CR"/>
              </w:rPr>
              <w:t>electrónica</w:t>
            </w:r>
            <w:r w:rsidRPr="004B6036">
              <w:rPr>
                <w:rFonts w:ascii="Cambria" w:eastAsia="Times New Roman" w:hAnsi="Cambria" w:cs="Calibri"/>
                <w:sz w:val="12"/>
                <w:szCs w:val="12"/>
                <w:lang w:eastAsia="es-CR"/>
              </w:rPr>
              <w:t xml:space="preserve"> revisar cada escritorio de trabajo)</w:t>
            </w:r>
          </w:p>
        </w:tc>
        <w:tc>
          <w:tcPr>
            <w:tcW w:w="178" w:type="pct"/>
            <w:shd w:val="clear" w:color="FF99CC" w:fill="FF8080"/>
            <w:vAlign w:val="center"/>
            <w:hideMark/>
          </w:tcPr>
          <w:p w14:paraId="66E159B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6E3AE64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15</w:t>
            </w:r>
          </w:p>
        </w:tc>
        <w:tc>
          <w:tcPr>
            <w:tcW w:w="213" w:type="pct"/>
            <w:shd w:val="clear" w:color="FFFFCC" w:fill="FFFF99"/>
            <w:vAlign w:val="center"/>
            <w:hideMark/>
          </w:tcPr>
          <w:p w14:paraId="64A1A2E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10</w:t>
            </w:r>
          </w:p>
        </w:tc>
        <w:tc>
          <w:tcPr>
            <w:tcW w:w="208" w:type="pct"/>
            <w:shd w:val="clear" w:color="FFFFCC" w:fill="FFFF99"/>
            <w:vAlign w:val="center"/>
            <w:hideMark/>
          </w:tcPr>
          <w:p w14:paraId="27F3B29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4B162A0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15</w:t>
            </w:r>
          </w:p>
        </w:tc>
        <w:tc>
          <w:tcPr>
            <w:tcW w:w="157" w:type="pct"/>
            <w:shd w:val="clear" w:color="33CCCC" w:fill="C6E0B4"/>
            <w:vAlign w:val="center"/>
            <w:hideMark/>
          </w:tcPr>
          <w:p w14:paraId="2C5862E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55D82A5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10</w:t>
            </w:r>
          </w:p>
        </w:tc>
      </w:tr>
      <w:tr w:rsidR="003D387C" w:rsidRPr="003D387C" w14:paraId="6DAEA0C6" w14:textId="77777777" w:rsidTr="004B6036">
        <w:trPr>
          <w:trHeight w:val="433"/>
        </w:trPr>
        <w:tc>
          <w:tcPr>
            <w:tcW w:w="507" w:type="pct"/>
            <w:vMerge/>
            <w:vAlign w:val="center"/>
            <w:hideMark/>
          </w:tcPr>
          <w:p w14:paraId="419EC8BA"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03876BC1"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7D3D78F7" w14:textId="77777777" w:rsidR="001A6E91" w:rsidRPr="004B6036" w:rsidRDefault="001A6E91" w:rsidP="001A6E91">
            <w:pPr>
              <w:spacing w:after="0" w:line="240" w:lineRule="auto"/>
              <w:rPr>
                <w:rFonts w:ascii="Cambria" w:eastAsia="Times New Roman" w:hAnsi="Cambria" w:cs="Calibri"/>
                <w:sz w:val="12"/>
                <w:szCs w:val="12"/>
                <w:lang w:eastAsia="es-CR"/>
              </w:rPr>
            </w:pPr>
          </w:p>
        </w:tc>
        <w:tc>
          <w:tcPr>
            <w:tcW w:w="889" w:type="pct"/>
            <w:vMerge/>
            <w:vAlign w:val="center"/>
            <w:hideMark/>
          </w:tcPr>
          <w:p w14:paraId="3A56A23A" w14:textId="77777777" w:rsidR="001A6E91" w:rsidRPr="004B6036" w:rsidRDefault="001A6E91" w:rsidP="001A6E91">
            <w:pPr>
              <w:spacing w:after="0" w:line="240" w:lineRule="auto"/>
              <w:rPr>
                <w:rFonts w:ascii="Cambria" w:eastAsia="Times New Roman" w:hAnsi="Cambria" w:cs="Calibri"/>
                <w:sz w:val="12"/>
                <w:szCs w:val="12"/>
                <w:lang w:eastAsia="es-CR"/>
              </w:rPr>
            </w:pPr>
          </w:p>
        </w:tc>
        <w:tc>
          <w:tcPr>
            <w:tcW w:w="427" w:type="pct"/>
            <w:vMerge/>
            <w:vAlign w:val="center"/>
            <w:hideMark/>
          </w:tcPr>
          <w:p w14:paraId="289A66B6" w14:textId="77777777" w:rsidR="001A6E91" w:rsidRPr="004B6036" w:rsidRDefault="001A6E91" w:rsidP="001A6E91">
            <w:pPr>
              <w:spacing w:after="0" w:line="240" w:lineRule="auto"/>
              <w:rPr>
                <w:rFonts w:ascii="Cambria" w:eastAsia="Times New Roman" w:hAnsi="Cambria" w:cs="Calibri"/>
                <w:sz w:val="12"/>
                <w:szCs w:val="12"/>
                <w:lang w:eastAsia="es-CR"/>
              </w:rPr>
            </w:pPr>
          </w:p>
        </w:tc>
        <w:tc>
          <w:tcPr>
            <w:tcW w:w="465" w:type="pct"/>
            <w:vMerge/>
            <w:vAlign w:val="center"/>
            <w:hideMark/>
          </w:tcPr>
          <w:p w14:paraId="46630D36" w14:textId="77777777" w:rsidR="001A6E91" w:rsidRPr="004B6036" w:rsidRDefault="001A6E91" w:rsidP="001A6E91">
            <w:pPr>
              <w:spacing w:after="0" w:line="240" w:lineRule="auto"/>
              <w:rPr>
                <w:rFonts w:ascii="Cambria" w:eastAsia="Times New Roman" w:hAnsi="Cambria" w:cs="Calibri"/>
                <w:sz w:val="12"/>
                <w:szCs w:val="12"/>
                <w:lang w:eastAsia="es-CR"/>
              </w:rPr>
            </w:pPr>
          </w:p>
        </w:tc>
        <w:tc>
          <w:tcPr>
            <w:tcW w:w="603" w:type="pct"/>
            <w:vMerge/>
            <w:vAlign w:val="center"/>
            <w:hideMark/>
          </w:tcPr>
          <w:p w14:paraId="60FEBA31" w14:textId="77777777" w:rsidR="001A6E91" w:rsidRPr="004B6036" w:rsidRDefault="001A6E91" w:rsidP="001A6E91">
            <w:pPr>
              <w:spacing w:after="0" w:line="240" w:lineRule="auto"/>
              <w:rPr>
                <w:rFonts w:ascii="Cambria" w:eastAsia="Times New Roman" w:hAnsi="Cambria" w:cs="Calibri"/>
                <w:sz w:val="12"/>
                <w:szCs w:val="12"/>
                <w:lang w:eastAsia="es-CR"/>
              </w:rPr>
            </w:pPr>
          </w:p>
        </w:tc>
        <w:tc>
          <w:tcPr>
            <w:tcW w:w="1371" w:type="pct"/>
            <w:gridSpan w:val="7"/>
            <w:shd w:val="clear" w:color="FF99CC" w:fill="FFFFFF"/>
            <w:vAlign w:val="center"/>
            <w:hideMark/>
          </w:tcPr>
          <w:p w14:paraId="2739C10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Fecha del escrito más antiguo pendiente de resolver</w:t>
            </w:r>
          </w:p>
        </w:tc>
      </w:tr>
      <w:tr w:rsidR="00390FF5" w:rsidRPr="003D387C" w14:paraId="584BF47D" w14:textId="77777777" w:rsidTr="00390FF5">
        <w:trPr>
          <w:trHeight w:val="1655"/>
        </w:trPr>
        <w:tc>
          <w:tcPr>
            <w:tcW w:w="507" w:type="pct"/>
            <w:vMerge/>
            <w:vAlign w:val="center"/>
            <w:hideMark/>
          </w:tcPr>
          <w:p w14:paraId="5F5AC277"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restart"/>
            <w:shd w:val="clear" w:color="33CCCC" w:fill="FFFFFF"/>
            <w:vAlign w:val="center"/>
            <w:hideMark/>
          </w:tcPr>
          <w:p w14:paraId="37E336DB"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8</w:t>
            </w:r>
          </w:p>
        </w:tc>
        <w:tc>
          <w:tcPr>
            <w:tcW w:w="530" w:type="pct"/>
            <w:shd w:val="clear" w:color="33CCCC" w:fill="FFFFFF"/>
            <w:vAlign w:val="center"/>
            <w:hideMark/>
          </w:tcPr>
          <w:p w14:paraId="22BC516B"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Plazo de espera de expediente votado más antiguo pendiente de firmar la sentencia (días)</w:t>
            </w:r>
          </w:p>
        </w:tc>
        <w:tc>
          <w:tcPr>
            <w:tcW w:w="889" w:type="pct"/>
            <w:shd w:val="clear" w:color="33CCCC" w:fill="FFFFFF"/>
            <w:vAlign w:val="center"/>
            <w:hideMark/>
          </w:tcPr>
          <w:p w14:paraId="2D8C31E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Este dato se obtiene del libro en el que se consigne las fechas de firmado de sentencia de los expedientes con número de voto asignados. Lo que se requiere es obtener el dato de tiempo de firmado desde el momento que se vota el proyecto hasta la aplicación de la última firma de sentencia</w:t>
            </w:r>
          </w:p>
        </w:tc>
        <w:tc>
          <w:tcPr>
            <w:tcW w:w="427" w:type="pct"/>
            <w:shd w:val="clear" w:color="33CCCC" w:fill="FFFFFF"/>
            <w:vAlign w:val="center"/>
            <w:hideMark/>
          </w:tcPr>
          <w:p w14:paraId="7662BE4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Mensual</w:t>
            </w:r>
          </w:p>
        </w:tc>
        <w:tc>
          <w:tcPr>
            <w:tcW w:w="465" w:type="pct"/>
            <w:shd w:val="clear" w:color="33CCCC" w:fill="FFFFFF"/>
            <w:vAlign w:val="center"/>
            <w:hideMark/>
          </w:tcPr>
          <w:p w14:paraId="4529E04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Coordinadora o Coordinador Judicial</w:t>
            </w:r>
          </w:p>
        </w:tc>
        <w:tc>
          <w:tcPr>
            <w:tcW w:w="603" w:type="pct"/>
            <w:shd w:val="clear" w:color="33CCCC" w:fill="FFFFFF"/>
            <w:vAlign w:val="center"/>
            <w:hideMark/>
          </w:tcPr>
          <w:p w14:paraId="728E4987"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Este dato se obtiene del libro en el que se consigne las fechas de pase a fallo de los expedientes pendientes de dictado de sentencia.</w:t>
            </w:r>
          </w:p>
        </w:tc>
        <w:tc>
          <w:tcPr>
            <w:tcW w:w="178" w:type="pct"/>
            <w:shd w:val="clear" w:color="FF99CC" w:fill="FF8080"/>
            <w:vAlign w:val="center"/>
            <w:hideMark/>
          </w:tcPr>
          <w:p w14:paraId="57A7A74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55C9CDC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21</w:t>
            </w:r>
          </w:p>
        </w:tc>
        <w:tc>
          <w:tcPr>
            <w:tcW w:w="213" w:type="pct"/>
            <w:shd w:val="clear" w:color="FFFFCC" w:fill="FFFF99"/>
            <w:vAlign w:val="center"/>
            <w:hideMark/>
          </w:tcPr>
          <w:p w14:paraId="39E8037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14</w:t>
            </w:r>
          </w:p>
        </w:tc>
        <w:tc>
          <w:tcPr>
            <w:tcW w:w="208" w:type="pct"/>
            <w:shd w:val="clear" w:color="FFFFCC" w:fill="FFFF99"/>
            <w:vAlign w:val="center"/>
            <w:hideMark/>
          </w:tcPr>
          <w:p w14:paraId="14DAB51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256215A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21</w:t>
            </w:r>
          </w:p>
        </w:tc>
        <w:tc>
          <w:tcPr>
            <w:tcW w:w="157" w:type="pct"/>
            <w:shd w:val="clear" w:color="33CCCC" w:fill="C6E0B4"/>
            <w:vAlign w:val="center"/>
            <w:hideMark/>
          </w:tcPr>
          <w:p w14:paraId="3EE5DA3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12F190C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14</w:t>
            </w:r>
          </w:p>
        </w:tc>
      </w:tr>
      <w:tr w:rsidR="00390FF5" w:rsidRPr="003D387C" w14:paraId="2EB26C5C" w14:textId="77777777" w:rsidTr="00390FF5">
        <w:trPr>
          <w:trHeight w:val="290"/>
        </w:trPr>
        <w:tc>
          <w:tcPr>
            <w:tcW w:w="507" w:type="pct"/>
            <w:vMerge/>
            <w:vAlign w:val="center"/>
            <w:hideMark/>
          </w:tcPr>
          <w:p w14:paraId="74EF4336"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19F26CB9"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restart"/>
            <w:shd w:val="clear" w:color="FFFFFF" w:fill="DDEBF7"/>
            <w:vAlign w:val="center"/>
            <w:hideMark/>
          </w:tcPr>
          <w:p w14:paraId="0441C3A9" w14:textId="77777777" w:rsidR="001A6E91" w:rsidRPr="004B6036" w:rsidRDefault="001A6E91" w:rsidP="001A6E91">
            <w:pPr>
              <w:spacing w:after="0" w:line="240" w:lineRule="auto"/>
              <w:jc w:val="center"/>
              <w:rPr>
                <w:rFonts w:ascii="Cambria" w:eastAsia="Times New Roman" w:hAnsi="Cambria" w:cs="Calibri"/>
                <w:b/>
                <w:bCs/>
                <w:i/>
                <w:iCs/>
                <w:sz w:val="12"/>
                <w:szCs w:val="12"/>
                <w:lang w:eastAsia="es-CR"/>
              </w:rPr>
            </w:pPr>
            <w:r w:rsidRPr="004B6036">
              <w:rPr>
                <w:rFonts w:ascii="Cambria" w:eastAsia="Times New Roman" w:hAnsi="Cambria" w:cs="Calibri"/>
                <w:b/>
                <w:bCs/>
                <w:i/>
                <w:iCs/>
                <w:sz w:val="12"/>
                <w:szCs w:val="12"/>
                <w:lang w:eastAsia="es-CR"/>
              </w:rPr>
              <w:t>Juez(a) 1</w:t>
            </w:r>
          </w:p>
        </w:tc>
        <w:tc>
          <w:tcPr>
            <w:tcW w:w="889" w:type="pct"/>
            <w:shd w:val="clear" w:color="CCFFFF" w:fill="DDEBF7"/>
            <w:vAlign w:val="center"/>
            <w:hideMark/>
          </w:tcPr>
          <w:p w14:paraId="69FBE4B0"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Civil </w:t>
            </w:r>
          </w:p>
        </w:tc>
        <w:tc>
          <w:tcPr>
            <w:tcW w:w="427" w:type="pct"/>
            <w:shd w:val="clear" w:color="33CCCC" w:fill="DDEBF7"/>
            <w:vAlign w:val="center"/>
            <w:hideMark/>
          </w:tcPr>
          <w:p w14:paraId="7F8119E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33CCCC" w:fill="DDEBF7"/>
            <w:vAlign w:val="center"/>
            <w:hideMark/>
          </w:tcPr>
          <w:p w14:paraId="16CC080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33CCCC" w:fill="DDEBF7"/>
            <w:vAlign w:val="center"/>
            <w:hideMark/>
          </w:tcPr>
          <w:p w14:paraId="2C5C4B69"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6BC5B95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1B63E8F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21</w:t>
            </w:r>
          </w:p>
        </w:tc>
        <w:tc>
          <w:tcPr>
            <w:tcW w:w="213" w:type="pct"/>
            <w:shd w:val="clear" w:color="FFFFCC" w:fill="FFFF99"/>
            <w:vAlign w:val="center"/>
            <w:hideMark/>
          </w:tcPr>
          <w:p w14:paraId="62EC3127"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14</w:t>
            </w:r>
          </w:p>
        </w:tc>
        <w:tc>
          <w:tcPr>
            <w:tcW w:w="208" w:type="pct"/>
            <w:shd w:val="clear" w:color="FFFFCC" w:fill="FFFF99"/>
            <w:vAlign w:val="center"/>
            <w:hideMark/>
          </w:tcPr>
          <w:p w14:paraId="1A26899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53788F2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21</w:t>
            </w:r>
          </w:p>
        </w:tc>
        <w:tc>
          <w:tcPr>
            <w:tcW w:w="157" w:type="pct"/>
            <w:shd w:val="clear" w:color="33CCCC" w:fill="C6E0B4"/>
            <w:vAlign w:val="center"/>
            <w:hideMark/>
          </w:tcPr>
          <w:p w14:paraId="53191207"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03D5733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14</w:t>
            </w:r>
          </w:p>
        </w:tc>
      </w:tr>
      <w:tr w:rsidR="00390FF5" w:rsidRPr="003D387C" w14:paraId="749678A5" w14:textId="77777777" w:rsidTr="00390FF5">
        <w:trPr>
          <w:trHeight w:val="290"/>
        </w:trPr>
        <w:tc>
          <w:tcPr>
            <w:tcW w:w="507" w:type="pct"/>
            <w:vMerge/>
            <w:vAlign w:val="center"/>
            <w:hideMark/>
          </w:tcPr>
          <w:p w14:paraId="0DF3DBAB"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5F3EE538"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0AEC74BB" w14:textId="77777777" w:rsidR="001A6E91" w:rsidRPr="004B6036" w:rsidRDefault="001A6E91" w:rsidP="001A6E91">
            <w:pPr>
              <w:spacing w:after="0" w:line="240" w:lineRule="auto"/>
              <w:rPr>
                <w:rFonts w:ascii="Cambria" w:eastAsia="Times New Roman" w:hAnsi="Cambria" w:cs="Calibri"/>
                <w:b/>
                <w:bCs/>
                <w:i/>
                <w:iCs/>
                <w:sz w:val="12"/>
                <w:szCs w:val="12"/>
                <w:lang w:eastAsia="es-CR"/>
              </w:rPr>
            </w:pPr>
          </w:p>
        </w:tc>
        <w:tc>
          <w:tcPr>
            <w:tcW w:w="889" w:type="pct"/>
            <w:shd w:val="clear" w:color="CCFFFF" w:fill="BDD7EE"/>
            <w:vAlign w:val="center"/>
            <w:hideMark/>
          </w:tcPr>
          <w:p w14:paraId="2C46E62D"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Laboral</w:t>
            </w:r>
          </w:p>
        </w:tc>
        <w:tc>
          <w:tcPr>
            <w:tcW w:w="427" w:type="pct"/>
            <w:shd w:val="clear" w:color="33CCCC" w:fill="BDD7EE"/>
            <w:vAlign w:val="center"/>
            <w:hideMark/>
          </w:tcPr>
          <w:p w14:paraId="36F927B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33CCCC" w:fill="BDD7EE"/>
            <w:vAlign w:val="center"/>
            <w:hideMark/>
          </w:tcPr>
          <w:p w14:paraId="0F744E87"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33CCCC" w:fill="BDD7EE"/>
            <w:vAlign w:val="center"/>
            <w:hideMark/>
          </w:tcPr>
          <w:p w14:paraId="7BF53E5F"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0A66BE9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22AA9F4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21</w:t>
            </w:r>
          </w:p>
        </w:tc>
        <w:tc>
          <w:tcPr>
            <w:tcW w:w="213" w:type="pct"/>
            <w:shd w:val="clear" w:color="FFFFCC" w:fill="FFFF99"/>
            <w:vAlign w:val="center"/>
            <w:hideMark/>
          </w:tcPr>
          <w:p w14:paraId="06ACC99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14</w:t>
            </w:r>
          </w:p>
        </w:tc>
        <w:tc>
          <w:tcPr>
            <w:tcW w:w="208" w:type="pct"/>
            <w:shd w:val="clear" w:color="FFFFCC" w:fill="FFFF99"/>
            <w:vAlign w:val="center"/>
            <w:hideMark/>
          </w:tcPr>
          <w:p w14:paraId="2DBDC60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6462A1C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21</w:t>
            </w:r>
          </w:p>
        </w:tc>
        <w:tc>
          <w:tcPr>
            <w:tcW w:w="157" w:type="pct"/>
            <w:shd w:val="clear" w:color="33CCCC" w:fill="C6E0B4"/>
            <w:vAlign w:val="center"/>
            <w:hideMark/>
          </w:tcPr>
          <w:p w14:paraId="36E63C9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39AE739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14</w:t>
            </w:r>
          </w:p>
        </w:tc>
      </w:tr>
      <w:tr w:rsidR="00390FF5" w:rsidRPr="003D387C" w14:paraId="0277C3E2" w14:textId="77777777" w:rsidTr="00390FF5">
        <w:trPr>
          <w:trHeight w:val="290"/>
        </w:trPr>
        <w:tc>
          <w:tcPr>
            <w:tcW w:w="507" w:type="pct"/>
            <w:vMerge/>
            <w:vAlign w:val="center"/>
            <w:hideMark/>
          </w:tcPr>
          <w:p w14:paraId="4B9F42A2"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37CC21E2"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restart"/>
            <w:shd w:val="clear" w:color="FFFFFF" w:fill="DDEBF7"/>
            <w:vAlign w:val="center"/>
            <w:hideMark/>
          </w:tcPr>
          <w:p w14:paraId="2D3CBD8F" w14:textId="77777777" w:rsidR="001A6E91" w:rsidRPr="004B6036" w:rsidRDefault="001A6E91" w:rsidP="001A6E91">
            <w:pPr>
              <w:spacing w:after="0" w:line="240" w:lineRule="auto"/>
              <w:jc w:val="center"/>
              <w:rPr>
                <w:rFonts w:ascii="Cambria" w:eastAsia="Times New Roman" w:hAnsi="Cambria" w:cs="Calibri"/>
                <w:b/>
                <w:bCs/>
                <w:i/>
                <w:iCs/>
                <w:sz w:val="12"/>
                <w:szCs w:val="12"/>
                <w:lang w:eastAsia="es-CR"/>
              </w:rPr>
            </w:pPr>
            <w:r w:rsidRPr="004B6036">
              <w:rPr>
                <w:rFonts w:ascii="Cambria" w:eastAsia="Times New Roman" w:hAnsi="Cambria" w:cs="Calibri"/>
                <w:b/>
                <w:bCs/>
                <w:i/>
                <w:iCs/>
                <w:sz w:val="12"/>
                <w:szCs w:val="12"/>
                <w:lang w:eastAsia="es-CR"/>
              </w:rPr>
              <w:t>Juez(a) 2</w:t>
            </w:r>
          </w:p>
        </w:tc>
        <w:tc>
          <w:tcPr>
            <w:tcW w:w="889" w:type="pct"/>
            <w:shd w:val="clear" w:color="CCFFFF" w:fill="DDEBF7"/>
            <w:vAlign w:val="center"/>
            <w:hideMark/>
          </w:tcPr>
          <w:p w14:paraId="0E40E45A"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Civil </w:t>
            </w:r>
          </w:p>
        </w:tc>
        <w:tc>
          <w:tcPr>
            <w:tcW w:w="427" w:type="pct"/>
            <w:shd w:val="clear" w:color="33CCCC" w:fill="DDEBF7"/>
            <w:vAlign w:val="center"/>
            <w:hideMark/>
          </w:tcPr>
          <w:p w14:paraId="6A851C8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33CCCC" w:fill="DDEBF7"/>
            <w:vAlign w:val="center"/>
            <w:hideMark/>
          </w:tcPr>
          <w:p w14:paraId="0FA413A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33CCCC" w:fill="DDEBF7"/>
            <w:vAlign w:val="center"/>
            <w:hideMark/>
          </w:tcPr>
          <w:p w14:paraId="2491BDE3"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062E825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414BD58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21</w:t>
            </w:r>
          </w:p>
        </w:tc>
        <w:tc>
          <w:tcPr>
            <w:tcW w:w="213" w:type="pct"/>
            <w:shd w:val="clear" w:color="FFFFCC" w:fill="FFFF99"/>
            <w:vAlign w:val="center"/>
            <w:hideMark/>
          </w:tcPr>
          <w:p w14:paraId="154C125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14</w:t>
            </w:r>
          </w:p>
        </w:tc>
        <w:tc>
          <w:tcPr>
            <w:tcW w:w="208" w:type="pct"/>
            <w:shd w:val="clear" w:color="FFFFCC" w:fill="FFFF99"/>
            <w:vAlign w:val="center"/>
            <w:hideMark/>
          </w:tcPr>
          <w:p w14:paraId="226822B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1009A107"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21</w:t>
            </w:r>
          </w:p>
        </w:tc>
        <w:tc>
          <w:tcPr>
            <w:tcW w:w="157" w:type="pct"/>
            <w:shd w:val="clear" w:color="33CCCC" w:fill="C6E0B4"/>
            <w:vAlign w:val="center"/>
            <w:hideMark/>
          </w:tcPr>
          <w:p w14:paraId="5C73406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4C7A14A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14</w:t>
            </w:r>
          </w:p>
        </w:tc>
      </w:tr>
      <w:tr w:rsidR="00390FF5" w:rsidRPr="003D387C" w14:paraId="4939382C" w14:textId="77777777" w:rsidTr="00390FF5">
        <w:trPr>
          <w:trHeight w:val="290"/>
        </w:trPr>
        <w:tc>
          <w:tcPr>
            <w:tcW w:w="507" w:type="pct"/>
            <w:vMerge/>
            <w:vAlign w:val="center"/>
            <w:hideMark/>
          </w:tcPr>
          <w:p w14:paraId="47A26DD2"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3D5BFE63"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0D3AF86E" w14:textId="77777777" w:rsidR="001A6E91" w:rsidRPr="004B6036" w:rsidRDefault="001A6E91" w:rsidP="001A6E91">
            <w:pPr>
              <w:spacing w:after="0" w:line="240" w:lineRule="auto"/>
              <w:rPr>
                <w:rFonts w:ascii="Cambria" w:eastAsia="Times New Roman" w:hAnsi="Cambria" w:cs="Calibri"/>
                <w:b/>
                <w:bCs/>
                <w:i/>
                <w:iCs/>
                <w:sz w:val="12"/>
                <w:szCs w:val="12"/>
                <w:lang w:eastAsia="es-CR"/>
              </w:rPr>
            </w:pPr>
          </w:p>
        </w:tc>
        <w:tc>
          <w:tcPr>
            <w:tcW w:w="889" w:type="pct"/>
            <w:shd w:val="clear" w:color="CCFFFF" w:fill="BDD7EE"/>
            <w:vAlign w:val="center"/>
            <w:hideMark/>
          </w:tcPr>
          <w:p w14:paraId="2A594CFC"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Laboral</w:t>
            </w:r>
          </w:p>
        </w:tc>
        <w:tc>
          <w:tcPr>
            <w:tcW w:w="427" w:type="pct"/>
            <w:shd w:val="clear" w:color="33CCCC" w:fill="BDD7EE"/>
            <w:vAlign w:val="center"/>
            <w:hideMark/>
          </w:tcPr>
          <w:p w14:paraId="3EEB1BC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33CCCC" w:fill="BDD7EE"/>
            <w:vAlign w:val="center"/>
            <w:hideMark/>
          </w:tcPr>
          <w:p w14:paraId="5C95EFB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33CCCC" w:fill="BDD7EE"/>
            <w:vAlign w:val="center"/>
            <w:hideMark/>
          </w:tcPr>
          <w:p w14:paraId="7F1A4FCA"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2F73F27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0E28AED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21</w:t>
            </w:r>
          </w:p>
        </w:tc>
        <w:tc>
          <w:tcPr>
            <w:tcW w:w="213" w:type="pct"/>
            <w:shd w:val="clear" w:color="FFFFCC" w:fill="FFFF99"/>
            <w:vAlign w:val="center"/>
            <w:hideMark/>
          </w:tcPr>
          <w:p w14:paraId="49C86D7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14</w:t>
            </w:r>
          </w:p>
        </w:tc>
        <w:tc>
          <w:tcPr>
            <w:tcW w:w="208" w:type="pct"/>
            <w:shd w:val="clear" w:color="FFFFCC" w:fill="FFFF99"/>
            <w:vAlign w:val="center"/>
            <w:hideMark/>
          </w:tcPr>
          <w:p w14:paraId="291CFFC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588DEF1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21</w:t>
            </w:r>
          </w:p>
        </w:tc>
        <w:tc>
          <w:tcPr>
            <w:tcW w:w="157" w:type="pct"/>
            <w:shd w:val="clear" w:color="33CCCC" w:fill="C6E0B4"/>
            <w:vAlign w:val="center"/>
            <w:hideMark/>
          </w:tcPr>
          <w:p w14:paraId="581AA8E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11CEE52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14</w:t>
            </w:r>
          </w:p>
        </w:tc>
      </w:tr>
      <w:tr w:rsidR="00390FF5" w:rsidRPr="003D387C" w14:paraId="68D9882E" w14:textId="77777777" w:rsidTr="00390FF5">
        <w:trPr>
          <w:trHeight w:val="290"/>
        </w:trPr>
        <w:tc>
          <w:tcPr>
            <w:tcW w:w="507" w:type="pct"/>
            <w:vMerge/>
            <w:vAlign w:val="center"/>
            <w:hideMark/>
          </w:tcPr>
          <w:p w14:paraId="332CBC43"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563F2CBB"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restart"/>
            <w:shd w:val="clear" w:color="FFFFFF" w:fill="DDEBF7"/>
            <w:vAlign w:val="center"/>
            <w:hideMark/>
          </w:tcPr>
          <w:p w14:paraId="50A3EC55" w14:textId="77777777" w:rsidR="001A6E91" w:rsidRPr="004B6036" w:rsidRDefault="001A6E91" w:rsidP="001A6E91">
            <w:pPr>
              <w:spacing w:after="0" w:line="240" w:lineRule="auto"/>
              <w:jc w:val="center"/>
              <w:rPr>
                <w:rFonts w:ascii="Cambria" w:eastAsia="Times New Roman" w:hAnsi="Cambria" w:cs="Calibri"/>
                <w:b/>
                <w:bCs/>
                <w:i/>
                <w:iCs/>
                <w:sz w:val="12"/>
                <w:szCs w:val="12"/>
                <w:lang w:eastAsia="es-CR"/>
              </w:rPr>
            </w:pPr>
            <w:r w:rsidRPr="004B6036">
              <w:rPr>
                <w:rFonts w:ascii="Cambria" w:eastAsia="Times New Roman" w:hAnsi="Cambria" w:cs="Calibri"/>
                <w:b/>
                <w:bCs/>
                <w:i/>
                <w:iCs/>
                <w:sz w:val="12"/>
                <w:szCs w:val="12"/>
                <w:lang w:eastAsia="es-CR"/>
              </w:rPr>
              <w:t>Juez(a) 3</w:t>
            </w:r>
          </w:p>
        </w:tc>
        <w:tc>
          <w:tcPr>
            <w:tcW w:w="889" w:type="pct"/>
            <w:shd w:val="clear" w:color="CCFFFF" w:fill="DDEBF7"/>
            <w:vAlign w:val="center"/>
            <w:hideMark/>
          </w:tcPr>
          <w:p w14:paraId="3BAE5005"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Civil </w:t>
            </w:r>
          </w:p>
        </w:tc>
        <w:tc>
          <w:tcPr>
            <w:tcW w:w="427" w:type="pct"/>
            <w:shd w:val="clear" w:color="33CCCC" w:fill="DDEBF7"/>
            <w:vAlign w:val="center"/>
            <w:hideMark/>
          </w:tcPr>
          <w:p w14:paraId="2940B32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33CCCC" w:fill="DDEBF7"/>
            <w:vAlign w:val="center"/>
            <w:hideMark/>
          </w:tcPr>
          <w:p w14:paraId="3226734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33CCCC" w:fill="DDEBF7"/>
            <w:vAlign w:val="center"/>
            <w:hideMark/>
          </w:tcPr>
          <w:p w14:paraId="082151E6"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014F95A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652C40B7"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21</w:t>
            </w:r>
          </w:p>
        </w:tc>
        <w:tc>
          <w:tcPr>
            <w:tcW w:w="213" w:type="pct"/>
            <w:shd w:val="clear" w:color="FFFFCC" w:fill="FFFF99"/>
            <w:vAlign w:val="center"/>
            <w:hideMark/>
          </w:tcPr>
          <w:p w14:paraId="6DBB96A7"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14</w:t>
            </w:r>
          </w:p>
        </w:tc>
        <w:tc>
          <w:tcPr>
            <w:tcW w:w="208" w:type="pct"/>
            <w:shd w:val="clear" w:color="FFFFCC" w:fill="FFFF99"/>
            <w:vAlign w:val="center"/>
            <w:hideMark/>
          </w:tcPr>
          <w:p w14:paraId="508F78B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2B1785B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21</w:t>
            </w:r>
          </w:p>
        </w:tc>
        <w:tc>
          <w:tcPr>
            <w:tcW w:w="157" w:type="pct"/>
            <w:shd w:val="clear" w:color="33CCCC" w:fill="C6E0B4"/>
            <w:vAlign w:val="center"/>
            <w:hideMark/>
          </w:tcPr>
          <w:p w14:paraId="4071608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5891B4F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14</w:t>
            </w:r>
          </w:p>
        </w:tc>
      </w:tr>
      <w:tr w:rsidR="00390FF5" w:rsidRPr="003D387C" w14:paraId="230B8785" w14:textId="77777777" w:rsidTr="00390FF5">
        <w:trPr>
          <w:trHeight w:val="290"/>
        </w:trPr>
        <w:tc>
          <w:tcPr>
            <w:tcW w:w="507" w:type="pct"/>
            <w:vMerge/>
            <w:vAlign w:val="center"/>
            <w:hideMark/>
          </w:tcPr>
          <w:p w14:paraId="7C4A3BFA"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46EBDBE8"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6160374F" w14:textId="77777777" w:rsidR="001A6E91" w:rsidRPr="004B6036" w:rsidRDefault="001A6E91" w:rsidP="001A6E91">
            <w:pPr>
              <w:spacing w:after="0" w:line="240" w:lineRule="auto"/>
              <w:rPr>
                <w:rFonts w:ascii="Cambria" w:eastAsia="Times New Roman" w:hAnsi="Cambria" w:cs="Calibri"/>
                <w:b/>
                <w:bCs/>
                <w:i/>
                <w:iCs/>
                <w:sz w:val="12"/>
                <w:szCs w:val="12"/>
                <w:lang w:eastAsia="es-CR"/>
              </w:rPr>
            </w:pPr>
          </w:p>
        </w:tc>
        <w:tc>
          <w:tcPr>
            <w:tcW w:w="889" w:type="pct"/>
            <w:shd w:val="clear" w:color="CCFFFF" w:fill="BDD7EE"/>
            <w:vAlign w:val="center"/>
            <w:hideMark/>
          </w:tcPr>
          <w:p w14:paraId="4336BE58"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Laboral</w:t>
            </w:r>
          </w:p>
        </w:tc>
        <w:tc>
          <w:tcPr>
            <w:tcW w:w="427" w:type="pct"/>
            <w:shd w:val="clear" w:color="33CCCC" w:fill="BDD7EE"/>
            <w:vAlign w:val="center"/>
            <w:hideMark/>
          </w:tcPr>
          <w:p w14:paraId="26311E5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33CCCC" w:fill="BDD7EE"/>
            <w:vAlign w:val="center"/>
            <w:hideMark/>
          </w:tcPr>
          <w:p w14:paraId="4565F0C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33CCCC" w:fill="BDD7EE"/>
            <w:vAlign w:val="center"/>
            <w:hideMark/>
          </w:tcPr>
          <w:p w14:paraId="72D30830"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24EE09F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5B01B56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21</w:t>
            </w:r>
          </w:p>
        </w:tc>
        <w:tc>
          <w:tcPr>
            <w:tcW w:w="213" w:type="pct"/>
            <w:shd w:val="clear" w:color="FFFFCC" w:fill="FFFF99"/>
            <w:vAlign w:val="center"/>
            <w:hideMark/>
          </w:tcPr>
          <w:p w14:paraId="6B9A0F3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14</w:t>
            </w:r>
          </w:p>
        </w:tc>
        <w:tc>
          <w:tcPr>
            <w:tcW w:w="208" w:type="pct"/>
            <w:shd w:val="clear" w:color="FFFFCC" w:fill="FFFF99"/>
            <w:vAlign w:val="center"/>
            <w:hideMark/>
          </w:tcPr>
          <w:p w14:paraId="1047353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16D105F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21</w:t>
            </w:r>
          </w:p>
        </w:tc>
        <w:tc>
          <w:tcPr>
            <w:tcW w:w="157" w:type="pct"/>
            <w:shd w:val="clear" w:color="33CCCC" w:fill="C6E0B4"/>
            <w:vAlign w:val="center"/>
            <w:hideMark/>
          </w:tcPr>
          <w:p w14:paraId="6BDE10F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413ED8A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14</w:t>
            </w:r>
          </w:p>
        </w:tc>
      </w:tr>
      <w:tr w:rsidR="00390FF5" w:rsidRPr="003D387C" w14:paraId="2D9CDAC2" w14:textId="77777777" w:rsidTr="00390FF5">
        <w:trPr>
          <w:trHeight w:val="1968"/>
        </w:trPr>
        <w:tc>
          <w:tcPr>
            <w:tcW w:w="507" w:type="pct"/>
            <w:vMerge w:val="restart"/>
            <w:shd w:val="clear" w:color="CCCCFF" w:fill="1F4E78"/>
            <w:noWrap/>
            <w:textDirection w:val="btLr"/>
            <w:vAlign w:val="center"/>
            <w:hideMark/>
          </w:tcPr>
          <w:p w14:paraId="0C5AB9E8" w14:textId="77777777" w:rsidR="001A6E91" w:rsidRPr="004B6036" w:rsidRDefault="001A6E91" w:rsidP="001A6E91">
            <w:pPr>
              <w:spacing w:after="0" w:line="240" w:lineRule="auto"/>
              <w:jc w:val="center"/>
              <w:rPr>
                <w:rFonts w:ascii="Cambria" w:eastAsia="Times New Roman" w:hAnsi="Cambria" w:cs="Calibri"/>
                <w:b/>
                <w:bCs/>
                <w:color w:val="FFFFFF"/>
                <w:sz w:val="12"/>
                <w:szCs w:val="12"/>
                <w:lang w:eastAsia="es-CR"/>
              </w:rPr>
            </w:pPr>
            <w:r w:rsidRPr="004B6036">
              <w:rPr>
                <w:rFonts w:ascii="Cambria" w:eastAsia="Times New Roman" w:hAnsi="Cambria" w:cs="Calibri"/>
                <w:b/>
                <w:bCs/>
                <w:color w:val="FFFFFF"/>
                <w:sz w:val="12"/>
                <w:szCs w:val="12"/>
                <w:lang w:eastAsia="es-CR"/>
              </w:rPr>
              <w:t xml:space="preserve">Operacional </w:t>
            </w:r>
          </w:p>
        </w:tc>
        <w:tc>
          <w:tcPr>
            <w:tcW w:w="208" w:type="pct"/>
            <w:vMerge w:val="restart"/>
            <w:shd w:val="clear" w:color="CCCCFF" w:fill="FFFFFF"/>
            <w:vAlign w:val="center"/>
            <w:hideMark/>
          </w:tcPr>
          <w:p w14:paraId="0F9AC2CA"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9</w:t>
            </w:r>
          </w:p>
        </w:tc>
        <w:tc>
          <w:tcPr>
            <w:tcW w:w="530" w:type="pct"/>
            <w:vMerge w:val="restart"/>
            <w:shd w:val="clear" w:color="CCCCFF" w:fill="FFFFFF"/>
            <w:vAlign w:val="center"/>
            <w:hideMark/>
          </w:tcPr>
          <w:p w14:paraId="3F2F7A21"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Cantidad de expedientes pendientes de fallo</w:t>
            </w:r>
          </w:p>
        </w:tc>
        <w:tc>
          <w:tcPr>
            <w:tcW w:w="889" w:type="pct"/>
            <w:shd w:val="clear" w:color="CCCCFF" w:fill="FFFFFF"/>
            <w:vAlign w:val="center"/>
            <w:hideMark/>
          </w:tcPr>
          <w:p w14:paraId="1B6D070D" w14:textId="77777777" w:rsidR="001A6E91" w:rsidRPr="004B6036" w:rsidRDefault="001A6E91" w:rsidP="001A6E91">
            <w:pPr>
              <w:spacing w:after="0" w:line="240" w:lineRule="auto"/>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Expedientes pendientes de fallo</w:t>
            </w:r>
          </w:p>
        </w:tc>
        <w:tc>
          <w:tcPr>
            <w:tcW w:w="427" w:type="pct"/>
            <w:shd w:val="clear" w:color="CCCCFF" w:fill="FFFFFF"/>
            <w:vAlign w:val="center"/>
            <w:hideMark/>
          </w:tcPr>
          <w:p w14:paraId="40B4470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Mensual</w:t>
            </w:r>
          </w:p>
        </w:tc>
        <w:tc>
          <w:tcPr>
            <w:tcW w:w="465" w:type="pct"/>
            <w:shd w:val="clear" w:color="CCCCFF" w:fill="FFFFFF"/>
            <w:vAlign w:val="center"/>
            <w:hideMark/>
          </w:tcPr>
          <w:p w14:paraId="5F14BD9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Coordinadora o Coordinador Judicial</w:t>
            </w:r>
          </w:p>
        </w:tc>
        <w:tc>
          <w:tcPr>
            <w:tcW w:w="603" w:type="pct"/>
            <w:shd w:val="clear" w:color="CCCCFF" w:fill="FFFFFF"/>
            <w:vAlign w:val="center"/>
            <w:hideMark/>
          </w:tcPr>
          <w:p w14:paraId="39B9331A"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Debe existir una métrica por cada uno de las juezas y jueces del despacho. </w:t>
            </w:r>
            <w:r w:rsidRPr="004B6036">
              <w:rPr>
                <w:rFonts w:ascii="Cambria" w:eastAsia="Times New Roman" w:hAnsi="Cambria" w:cs="Calibri"/>
                <w:sz w:val="12"/>
                <w:szCs w:val="12"/>
                <w:lang w:eastAsia="es-CR"/>
              </w:rPr>
              <w:br/>
              <w:t>Este dato se obtiene del libro en el que se consignen las sentencias o el Sistema de Gestión de Despacho Judicial.</w:t>
            </w:r>
          </w:p>
        </w:tc>
        <w:tc>
          <w:tcPr>
            <w:tcW w:w="178" w:type="pct"/>
            <w:shd w:val="clear" w:color="FF99CC" w:fill="FF8080"/>
            <w:vAlign w:val="center"/>
            <w:hideMark/>
          </w:tcPr>
          <w:p w14:paraId="10EA349B"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&gt;</w:t>
            </w:r>
          </w:p>
        </w:tc>
        <w:tc>
          <w:tcPr>
            <w:tcW w:w="205" w:type="pct"/>
            <w:shd w:val="clear" w:color="FF99CC" w:fill="FF8080"/>
            <w:vAlign w:val="center"/>
            <w:hideMark/>
          </w:tcPr>
          <w:p w14:paraId="03F0CEB7"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114</w:t>
            </w:r>
          </w:p>
        </w:tc>
        <w:tc>
          <w:tcPr>
            <w:tcW w:w="213" w:type="pct"/>
            <w:shd w:val="clear" w:color="FFFFCC" w:fill="FFFF99"/>
            <w:vAlign w:val="center"/>
            <w:hideMark/>
          </w:tcPr>
          <w:p w14:paraId="483702FE"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102</w:t>
            </w:r>
          </w:p>
        </w:tc>
        <w:tc>
          <w:tcPr>
            <w:tcW w:w="208" w:type="pct"/>
            <w:shd w:val="clear" w:color="FFFFCC" w:fill="FFFF99"/>
            <w:vAlign w:val="center"/>
            <w:hideMark/>
          </w:tcPr>
          <w:p w14:paraId="017AB32D"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 xml:space="preserve"> =&lt; X =&lt; </w:t>
            </w:r>
          </w:p>
        </w:tc>
        <w:tc>
          <w:tcPr>
            <w:tcW w:w="188" w:type="pct"/>
            <w:shd w:val="clear" w:color="FFFFCC" w:fill="FFFF99"/>
            <w:vAlign w:val="center"/>
            <w:hideMark/>
          </w:tcPr>
          <w:p w14:paraId="5B388436"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114</w:t>
            </w:r>
          </w:p>
        </w:tc>
        <w:tc>
          <w:tcPr>
            <w:tcW w:w="157" w:type="pct"/>
            <w:shd w:val="clear" w:color="33CCCC" w:fill="C6E0B4"/>
            <w:vAlign w:val="center"/>
            <w:hideMark/>
          </w:tcPr>
          <w:p w14:paraId="2234F4AC"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&lt;</w:t>
            </w:r>
          </w:p>
        </w:tc>
        <w:tc>
          <w:tcPr>
            <w:tcW w:w="222" w:type="pct"/>
            <w:shd w:val="clear" w:color="33CCCC" w:fill="C6E0B4"/>
            <w:noWrap/>
            <w:vAlign w:val="center"/>
            <w:hideMark/>
          </w:tcPr>
          <w:p w14:paraId="649B1C62"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102</w:t>
            </w:r>
          </w:p>
        </w:tc>
      </w:tr>
      <w:tr w:rsidR="00390FF5" w:rsidRPr="003D387C" w14:paraId="4A2AC970" w14:textId="77777777" w:rsidTr="00390FF5">
        <w:trPr>
          <w:trHeight w:val="250"/>
        </w:trPr>
        <w:tc>
          <w:tcPr>
            <w:tcW w:w="507" w:type="pct"/>
            <w:vMerge/>
            <w:vAlign w:val="center"/>
            <w:hideMark/>
          </w:tcPr>
          <w:p w14:paraId="75810151"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711C6D25"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6A9413DC" w14:textId="77777777" w:rsidR="001A6E91" w:rsidRPr="004B6036" w:rsidRDefault="001A6E91" w:rsidP="001A6E91">
            <w:pPr>
              <w:spacing w:after="0" w:line="240" w:lineRule="auto"/>
              <w:rPr>
                <w:rFonts w:ascii="Cambria" w:eastAsia="Times New Roman" w:hAnsi="Cambria" w:cs="Calibri"/>
                <w:color w:val="000000"/>
                <w:sz w:val="12"/>
                <w:szCs w:val="12"/>
                <w:lang w:eastAsia="es-CR"/>
              </w:rPr>
            </w:pPr>
          </w:p>
        </w:tc>
        <w:tc>
          <w:tcPr>
            <w:tcW w:w="889" w:type="pct"/>
            <w:shd w:val="clear" w:color="FFFFFF" w:fill="9BC2E6"/>
            <w:vAlign w:val="center"/>
            <w:hideMark/>
          </w:tcPr>
          <w:p w14:paraId="4DCABCA8" w14:textId="77777777" w:rsidR="001A6E91" w:rsidRPr="004B6036" w:rsidRDefault="001A6E91" w:rsidP="001A6E91">
            <w:pPr>
              <w:spacing w:after="0" w:line="240" w:lineRule="auto"/>
              <w:jc w:val="center"/>
              <w:rPr>
                <w:rFonts w:ascii="Cambria" w:eastAsia="Times New Roman" w:hAnsi="Cambria" w:cs="Calibri"/>
                <w:b/>
                <w:bCs/>
                <w:i/>
                <w:iCs/>
                <w:color w:val="000000"/>
                <w:sz w:val="12"/>
                <w:szCs w:val="12"/>
                <w:lang w:eastAsia="es-CR"/>
              </w:rPr>
            </w:pPr>
            <w:r w:rsidRPr="004B6036">
              <w:rPr>
                <w:rFonts w:ascii="Cambria" w:eastAsia="Times New Roman" w:hAnsi="Cambria" w:cs="Calibri"/>
                <w:b/>
                <w:bCs/>
                <w:i/>
                <w:iCs/>
                <w:color w:val="000000"/>
                <w:sz w:val="12"/>
                <w:szCs w:val="12"/>
                <w:lang w:eastAsia="es-CR"/>
              </w:rPr>
              <w:t xml:space="preserve">Civil </w:t>
            </w:r>
          </w:p>
        </w:tc>
        <w:tc>
          <w:tcPr>
            <w:tcW w:w="427" w:type="pct"/>
            <w:shd w:val="clear" w:color="FFFFFF" w:fill="9BC2E6"/>
            <w:vAlign w:val="center"/>
            <w:hideMark/>
          </w:tcPr>
          <w:p w14:paraId="75B45BC9" w14:textId="77777777" w:rsidR="001A6E91" w:rsidRPr="004B6036" w:rsidRDefault="001A6E91" w:rsidP="001A6E91">
            <w:pPr>
              <w:spacing w:after="0" w:line="240" w:lineRule="auto"/>
              <w:jc w:val="center"/>
              <w:rPr>
                <w:rFonts w:ascii="Cambria" w:eastAsia="Times New Roman" w:hAnsi="Cambria" w:cs="Calibri"/>
                <w:b/>
                <w:bCs/>
                <w:color w:val="000000"/>
                <w:sz w:val="12"/>
                <w:szCs w:val="12"/>
                <w:lang w:eastAsia="es-CR"/>
              </w:rPr>
            </w:pPr>
            <w:r w:rsidRPr="004B6036">
              <w:rPr>
                <w:rFonts w:ascii="Cambria" w:eastAsia="Times New Roman" w:hAnsi="Cambria" w:cs="Calibri"/>
                <w:b/>
                <w:bCs/>
                <w:color w:val="000000"/>
                <w:sz w:val="12"/>
                <w:szCs w:val="12"/>
                <w:lang w:eastAsia="es-CR"/>
              </w:rPr>
              <w:t> </w:t>
            </w:r>
          </w:p>
        </w:tc>
        <w:tc>
          <w:tcPr>
            <w:tcW w:w="465" w:type="pct"/>
            <w:shd w:val="clear" w:color="FFFFFF" w:fill="9BC2E6"/>
            <w:vAlign w:val="center"/>
            <w:hideMark/>
          </w:tcPr>
          <w:p w14:paraId="2332174C" w14:textId="77777777" w:rsidR="001A6E91" w:rsidRPr="004B6036" w:rsidRDefault="001A6E91" w:rsidP="001A6E91">
            <w:pPr>
              <w:spacing w:after="0" w:line="240" w:lineRule="auto"/>
              <w:jc w:val="center"/>
              <w:rPr>
                <w:rFonts w:ascii="Cambria" w:eastAsia="Times New Roman" w:hAnsi="Cambria" w:cs="Calibri"/>
                <w:b/>
                <w:bCs/>
                <w:color w:val="000000"/>
                <w:sz w:val="12"/>
                <w:szCs w:val="12"/>
                <w:lang w:eastAsia="es-CR"/>
              </w:rPr>
            </w:pPr>
            <w:r w:rsidRPr="004B6036">
              <w:rPr>
                <w:rFonts w:ascii="Cambria" w:eastAsia="Times New Roman" w:hAnsi="Cambria" w:cs="Calibri"/>
                <w:b/>
                <w:bCs/>
                <w:color w:val="000000"/>
                <w:sz w:val="12"/>
                <w:szCs w:val="12"/>
                <w:lang w:eastAsia="es-CR"/>
              </w:rPr>
              <w:t> </w:t>
            </w:r>
          </w:p>
        </w:tc>
        <w:tc>
          <w:tcPr>
            <w:tcW w:w="603" w:type="pct"/>
            <w:shd w:val="clear" w:color="FFFFFF" w:fill="9BC2E6"/>
            <w:vAlign w:val="center"/>
            <w:hideMark/>
          </w:tcPr>
          <w:p w14:paraId="53B47A07" w14:textId="77777777" w:rsidR="001A6E91" w:rsidRPr="004B6036" w:rsidRDefault="001A6E91" w:rsidP="001A6E91">
            <w:pPr>
              <w:spacing w:after="0" w:line="240" w:lineRule="auto"/>
              <w:jc w:val="center"/>
              <w:rPr>
                <w:rFonts w:ascii="Cambria" w:eastAsia="Times New Roman" w:hAnsi="Cambria" w:cs="Calibri"/>
                <w:b/>
                <w:bCs/>
                <w:color w:val="000000"/>
                <w:sz w:val="12"/>
                <w:szCs w:val="12"/>
                <w:lang w:eastAsia="es-CR"/>
              </w:rPr>
            </w:pPr>
            <w:r w:rsidRPr="004B6036">
              <w:rPr>
                <w:rFonts w:ascii="Cambria" w:eastAsia="Times New Roman" w:hAnsi="Cambria" w:cs="Calibri"/>
                <w:b/>
                <w:bCs/>
                <w:color w:val="000000"/>
                <w:sz w:val="12"/>
                <w:szCs w:val="12"/>
                <w:lang w:eastAsia="es-CR"/>
              </w:rPr>
              <w:t> </w:t>
            </w:r>
          </w:p>
        </w:tc>
        <w:tc>
          <w:tcPr>
            <w:tcW w:w="178" w:type="pct"/>
            <w:shd w:val="clear" w:color="FF99CC" w:fill="FF8080"/>
            <w:vAlign w:val="center"/>
            <w:hideMark/>
          </w:tcPr>
          <w:p w14:paraId="4DBA39F4"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&gt;</w:t>
            </w:r>
          </w:p>
        </w:tc>
        <w:tc>
          <w:tcPr>
            <w:tcW w:w="205" w:type="pct"/>
            <w:shd w:val="clear" w:color="FF99CC" w:fill="FF8080"/>
            <w:vAlign w:val="center"/>
            <w:hideMark/>
          </w:tcPr>
          <w:p w14:paraId="7C4E368E" w14:textId="7F8A7CD9" w:rsidR="001A6E91" w:rsidRPr="004B6036" w:rsidRDefault="00382067"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60</w:t>
            </w:r>
          </w:p>
        </w:tc>
        <w:tc>
          <w:tcPr>
            <w:tcW w:w="213" w:type="pct"/>
            <w:shd w:val="clear" w:color="FFFFCC" w:fill="FFFF99"/>
            <w:vAlign w:val="center"/>
            <w:hideMark/>
          </w:tcPr>
          <w:p w14:paraId="5F8FDB85"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48</w:t>
            </w:r>
          </w:p>
        </w:tc>
        <w:tc>
          <w:tcPr>
            <w:tcW w:w="208" w:type="pct"/>
            <w:shd w:val="clear" w:color="FFFFCC" w:fill="FFFF99"/>
            <w:vAlign w:val="center"/>
            <w:hideMark/>
          </w:tcPr>
          <w:p w14:paraId="2CE579EC"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 xml:space="preserve"> =&lt; X =&lt; </w:t>
            </w:r>
          </w:p>
        </w:tc>
        <w:tc>
          <w:tcPr>
            <w:tcW w:w="188" w:type="pct"/>
            <w:shd w:val="clear" w:color="FFFFCC" w:fill="FFFF99"/>
            <w:vAlign w:val="center"/>
            <w:hideMark/>
          </w:tcPr>
          <w:p w14:paraId="7A832F31"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54</w:t>
            </w:r>
          </w:p>
        </w:tc>
        <w:tc>
          <w:tcPr>
            <w:tcW w:w="157" w:type="pct"/>
            <w:shd w:val="clear" w:color="33CCCC" w:fill="C6E0B4"/>
            <w:vAlign w:val="center"/>
            <w:hideMark/>
          </w:tcPr>
          <w:p w14:paraId="15B6708D"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&lt;</w:t>
            </w:r>
          </w:p>
        </w:tc>
        <w:tc>
          <w:tcPr>
            <w:tcW w:w="222" w:type="pct"/>
            <w:shd w:val="clear" w:color="33CCCC" w:fill="C6E0B4"/>
            <w:noWrap/>
            <w:vAlign w:val="center"/>
            <w:hideMark/>
          </w:tcPr>
          <w:p w14:paraId="13088D8B" w14:textId="7EE49A2C" w:rsidR="001A6E91" w:rsidRPr="004B6036" w:rsidRDefault="00B80B03"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54</w:t>
            </w:r>
          </w:p>
        </w:tc>
      </w:tr>
      <w:tr w:rsidR="00390FF5" w:rsidRPr="003D387C" w14:paraId="0A61BD26" w14:textId="77777777" w:rsidTr="00390FF5">
        <w:trPr>
          <w:trHeight w:val="313"/>
        </w:trPr>
        <w:tc>
          <w:tcPr>
            <w:tcW w:w="507" w:type="pct"/>
            <w:vMerge/>
            <w:vAlign w:val="center"/>
            <w:hideMark/>
          </w:tcPr>
          <w:p w14:paraId="667EB383"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25B9A306"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5DAFEF60" w14:textId="77777777" w:rsidR="001A6E91" w:rsidRPr="004B6036" w:rsidRDefault="001A6E91" w:rsidP="001A6E91">
            <w:pPr>
              <w:spacing w:after="0" w:line="240" w:lineRule="auto"/>
              <w:rPr>
                <w:rFonts w:ascii="Cambria" w:eastAsia="Times New Roman" w:hAnsi="Cambria" w:cs="Calibri"/>
                <w:color w:val="000000"/>
                <w:sz w:val="12"/>
                <w:szCs w:val="12"/>
                <w:lang w:eastAsia="es-CR"/>
              </w:rPr>
            </w:pPr>
          </w:p>
        </w:tc>
        <w:tc>
          <w:tcPr>
            <w:tcW w:w="889" w:type="pct"/>
            <w:shd w:val="clear" w:color="FFFFFF" w:fill="9BC2E6"/>
            <w:vAlign w:val="center"/>
            <w:hideMark/>
          </w:tcPr>
          <w:p w14:paraId="417F19AE" w14:textId="77777777" w:rsidR="001A6E91" w:rsidRPr="004B6036" w:rsidRDefault="001A6E91" w:rsidP="001A6E91">
            <w:pPr>
              <w:spacing w:after="0" w:line="240" w:lineRule="auto"/>
              <w:jc w:val="center"/>
              <w:rPr>
                <w:rFonts w:ascii="Cambria" w:eastAsia="Times New Roman" w:hAnsi="Cambria" w:cs="Calibri"/>
                <w:b/>
                <w:bCs/>
                <w:i/>
                <w:iCs/>
                <w:color w:val="000000"/>
                <w:sz w:val="12"/>
                <w:szCs w:val="12"/>
                <w:lang w:eastAsia="es-CR"/>
              </w:rPr>
            </w:pPr>
            <w:r w:rsidRPr="004B6036">
              <w:rPr>
                <w:rFonts w:ascii="Cambria" w:eastAsia="Times New Roman" w:hAnsi="Cambria" w:cs="Calibri"/>
                <w:b/>
                <w:bCs/>
                <w:i/>
                <w:iCs/>
                <w:color w:val="000000"/>
                <w:sz w:val="12"/>
                <w:szCs w:val="12"/>
                <w:lang w:eastAsia="es-CR"/>
              </w:rPr>
              <w:t>Laboral</w:t>
            </w:r>
          </w:p>
        </w:tc>
        <w:tc>
          <w:tcPr>
            <w:tcW w:w="427" w:type="pct"/>
            <w:shd w:val="clear" w:color="FFFFFF" w:fill="9BC2E6"/>
            <w:vAlign w:val="center"/>
            <w:hideMark/>
          </w:tcPr>
          <w:p w14:paraId="4408FFF4" w14:textId="77777777" w:rsidR="001A6E91" w:rsidRPr="004B6036" w:rsidRDefault="001A6E91" w:rsidP="001A6E91">
            <w:pPr>
              <w:spacing w:after="0" w:line="240" w:lineRule="auto"/>
              <w:jc w:val="center"/>
              <w:rPr>
                <w:rFonts w:ascii="Cambria" w:eastAsia="Times New Roman" w:hAnsi="Cambria" w:cs="Calibri"/>
                <w:b/>
                <w:bCs/>
                <w:color w:val="000000"/>
                <w:sz w:val="12"/>
                <w:szCs w:val="12"/>
                <w:lang w:eastAsia="es-CR"/>
              </w:rPr>
            </w:pPr>
            <w:r w:rsidRPr="004B6036">
              <w:rPr>
                <w:rFonts w:ascii="Cambria" w:eastAsia="Times New Roman" w:hAnsi="Cambria" w:cs="Calibri"/>
                <w:b/>
                <w:bCs/>
                <w:color w:val="000000"/>
                <w:sz w:val="12"/>
                <w:szCs w:val="12"/>
                <w:lang w:eastAsia="es-CR"/>
              </w:rPr>
              <w:t> </w:t>
            </w:r>
          </w:p>
        </w:tc>
        <w:tc>
          <w:tcPr>
            <w:tcW w:w="465" w:type="pct"/>
            <w:shd w:val="clear" w:color="FFFFFF" w:fill="9BC2E6"/>
            <w:vAlign w:val="center"/>
            <w:hideMark/>
          </w:tcPr>
          <w:p w14:paraId="28500204" w14:textId="77777777" w:rsidR="001A6E91" w:rsidRPr="004B6036" w:rsidRDefault="001A6E91" w:rsidP="001A6E91">
            <w:pPr>
              <w:spacing w:after="0" w:line="240" w:lineRule="auto"/>
              <w:jc w:val="center"/>
              <w:rPr>
                <w:rFonts w:ascii="Cambria" w:eastAsia="Times New Roman" w:hAnsi="Cambria" w:cs="Calibri"/>
                <w:b/>
                <w:bCs/>
                <w:color w:val="000000"/>
                <w:sz w:val="12"/>
                <w:szCs w:val="12"/>
                <w:lang w:eastAsia="es-CR"/>
              </w:rPr>
            </w:pPr>
            <w:r w:rsidRPr="004B6036">
              <w:rPr>
                <w:rFonts w:ascii="Cambria" w:eastAsia="Times New Roman" w:hAnsi="Cambria" w:cs="Calibri"/>
                <w:b/>
                <w:bCs/>
                <w:color w:val="000000"/>
                <w:sz w:val="12"/>
                <w:szCs w:val="12"/>
                <w:lang w:eastAsia="es-CR"/>
              </w:rPr>
              <w:t> </w:t>
            </w:r>
          </w:p>
        </w:tc>
        <w:tc>
          <w:tcPr>
            <w:tcW w:w="603" w:type="pct"/>
            <w:shd w:val="clear" w:color="FFFFFF" w:fill="9BC2E6"/>
            <w:vAlign w:val="center"/>
            <w:hideMark/>
          </w:tcPr>
          <w:p w14:paraId="206A2D25" w14:textId="77777777" w:rsidR="001A6E91" w:rsidRPr="004B6036" w:rsidRDefault="001A6E91" w:rsidP="001A6E91">
            <w:pPr>
              <w:spacing w:after="0" w:line="240" w:lineRule="auto"/>
              <w:jc w:val="center"/>
              <w:rPr>
                <w:rFonts w:ascii="Cambria" w:eastAsia="Times New Roman" w:hAnsi="Cambria" w:cs="Calibri"/>
                <w:b/>
                <w:bCs/>
                <w:color w:val="000000"/>
                <w:sz w:val="12"/>
                <w:szCs w:val="12"/>
                <w:lang w:eastAsia="es-CR"/>
              </w:rPr>
            </w:pPr>
            <w:r w:rsidRPr="004B6036">
              <w:rPr>
                <w:rFonts w:ascii="Cambria" w:eastAsia="Times New Roman" w:hAnsi="Cambria" w:cs="Calibri"/>
                <w:b/>
                <w:bCs/>
                <w:color w:val="000000"/>
                <w:sz w:val="12"/>
                <w:szCs w:val="12"/>
                <w:lang w:eastAsia="es-CR"/>
              </w:rPr>
              <w:t> </w:t>
            </w:r>
          </w:p>
        </w:tc>
        <w:tc>
          <w:tcPr>
            <w:tcW w:w="178" w:type="pct"/>
            <w:shd w:val="clear" w:color="FF99CC" w:fill="FF8080"/>
            <w:vAlign w:val="center"/>
            <w:hideMark/>
          </w:tcPr>
          <w:p w14:paraId="2452A82E"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&gt;</w:t>
            </w:r>
          </w:p>
        </w:tc>
        <w:tc>
          <w:tcPr>
            <w:tcW w:w="205" w:type="pct"/>
            <w:shd w:val="clear" w:color="FF99CC" w:fill="FF8080"/>
            <w:vAlign w:val="center"/>
            <w:hideMark/>
          </w:tcPr>
          <w:p w14:paraId="120AA7FB" w14:textId="22FB883E" w:rsidR="001A6E91" w:rsidRPr="004B6036" w:rsidRDefault="00B80B03"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54</w:t>
            </w:r>
          </w:p>
        </w:tc>
        <w:tc>
          <w:tcPr>
            <w:tcW w:w="213" w:type="pct"/>
            <w:shd w:val="clear" w:color="FFFFCC" w:fill="FFFF99"/>
            <w:vAlign w:val="center"/>
            <w:hideMark/>
          </w:tcPr>
          <w:p w14:paraId="3DDB15A9"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54</w:t>
            </w:r>
          </w:p>
        </w:tc>
        <w:tc>
          <w:tcPr>
            <w:tcW w:w="208" w:type="pct"/>
            <w:shd w:val="clear" w:color="FFFFCC" w:fill="FFFF99"/>
            <w:vAlign w:val="center"/>
            <w:hideMark/>
          </w:tcPr>
          <w:p w14:paraId="18DAC731"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 xml:space="preserve"> =&lt; X =&lt; </w:t>
            </w:r>
          </w:p>
        </w:tc>
        <w:tc>
          <w:tcPr>
            <w:tcW w:w="188" w:type="pct"/>
            <w:shd w:val="clear" w:color="FFFFCC" w:fill="FFFF99"/>
            <w:vAlign w:val="center"/>
            <w:hideMark/>
          </w:tcPr>
          <w:p w14:paraId="1C1871A1"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60</w:t>
            </w:r>
          </w:p>
        </w:tc>
        <w:tc>
          <w:tcPr>
            <w:tcW w:w="157" w:type="pct"/>
            <w:shd w:val="clear" w:color="33CCCC" w:fill="C6E0B4"/>
            <w:vAlign w:val="center"/>
            <w:hideMark/>
          </w:tcPr>
          <w:p w14:paraId="70CBE442"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&lt;</w:t>
            </w:r>
          </w:p>
        </w:tc>
        <w:tc>
          <w:tcPr>
            <w:tcW w:w="222" w:type="pct"/>
            <w:shd w:val="clear" w:color="33CCCC" w:fill="C6E0B4"/>
            <w:noWrap/>
            <w:vAlign w:val="center"/>
            <w:hideMark/>
          </w:tcPr>
          <w:p w14:paraId="5900AFB6" w14:textId="26A6688C" w:rsidR="001A6E91" w:rsidRPr="004B6036" w:rsidRDefault="00B80B03"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48</w:t>
            </w:r>
          </w:p>
        </w:tc>
      </w:tr>
      <w:tr w:rsidR="00390FF5" w:rsidRPr="003D387C" w14:paraId="7984C687" w14:textId="77777777" w:rsidTr="00390FF5">
        <w:trPr>
          <w:trHeight w:val="250"/>
        </w:trPr>
        <w:tc>
          <w:tcPr>
            <w:tcW w:w="507" w:type="pct"/>
            <w:vMerge/>
            <w:vAlign w:val="center"/>
            <w:hideMark/>
          </w:tcPr>
          <w:p w14:paraId="62A22116"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00DC315F"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restart"/>
            <w:shd w:val="clear" w:color="FFFFFF" w:fill="DDEBF7"/>
            <w:vAlign w:val="center"/>
            <w:hideMark/>
          </w:tcPr>
          <w:p w14:paraId="1A5EBDF7"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Juez1 </w:t>
            </w:r>
          </w:p>
        </w:tc>
        <w:tc>
          <w:tcPr>
            <w:tcW w:w="889" w:type="pct"/>
            <w:shd w:val="clear" w:color="FFFFFF" w:fill="DDEBF7"/>
            <w:vAlign w:val="center"/>
            <w:hideMark/>
          </w:tcPr>
          <w:p w14:paraId="3FAA65E7"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Civil </w:t>
            </w:r>
          </w:p>
        </w:tc>
        <w:tc>
          <w:tcPr>
            <w:tcW w:w="427" w:type="pct"/>
            <w:shd w:val="clear" w:color="FFFFFF" w:fill="DDEBF7"/>
            <w:vAlign w:val="center"/>
            <w:hideMark/>
          </w:tcPr>
          <w:p w14:paraId="0714249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FFFFFF" w:fill="DDEBF7"/>
            <w:vAlign w:val="center"/>
            <w:hideMark/>
          </w:tcPr>
          <w:p w14:paraId="2ACCE34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FFFFFF" w:fill="DDEBF7"/>
            <w:vAlign w:val="center"/>
            <w:hideMark/>
          </w:tcPr>
          <w:p w14:paraId="1138625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3B20FF3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7BEAC9FF" w14:textId="59059B46" w:rsidR="001A6E91" w:rsidRPr="004B6036" w:rsidRDefault="005345ED"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20</w:t>
            </w:r>
          </w:p>
        </w:tc>
        <w:tc>
          <w:tcPr>
            <w:tcW w:w="213" w:type="pct"/>
            <w:shd w:val="clear" w:color="FFFFCC" w:fill="FFFF99"/>
            <w:vAlign w:val="center"/>
            <w:hideMark/>
          </w:tcPr>
          <w:p w14:paraId="79543B9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16</w:t>
            </w:r>
          </w:p>
        </w:tc>
        <w:tc>
          <w:tcPr>
            <w:tcW w:w="208" w:type="pct"/>
            <w:shd w:val="clear" w:color="FFFFCC" w:fill="FFFF99"/>
            <w:vAlign w:val="center"/>
            <w:hideMark/>
          </w:tcPr>
          <w:p w14:paraId="2F7FD92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56BB061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18</w:t>
            </w:r>
          </w:p>
        </w:tc>
        <w:tc>
          <w:tcPr>
            <w:tcW w:w="157" w:type="pct"/>
            <w:shd w:val="clear" w:color="33CCCC" w:fill="C6E0B4"/>
            <w:vAlign w:val="center"/>
            <w:hideMark/>
          </w:tcPr>
          <w:p w14:paraId="5FE54E0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7AF08E01" w14:textId="4722B328" w:rsidR="001A6E91" w:rsidRPr="004B6036" w:rsidRDefault="00B80B03"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18</w:t>
            </w:r>
          </w:p>
        </w:tc>
      </w:tr>
      <w:tr w:rsidR="00390FF5" w:rsidRPr="003D387C" w14:paraId="1928ABF5" w14:textId="77777777" w:rsidTr="00390FF5">
        <w:trPr>
          <w:trHeight w:val="250"/>
        </w:trPr>
        <w:tc>
          <w:tcPr>
            <w:tcW w:w="507" w:type="pct"/>
            <w:vMerge/>
            <w:vAlign w:val="center"/>
            <w:hideMark/>
          </w:tcPr>
          <w:p w14:paraId="75C12725"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0E07AB42"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5741BD58"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889" w:type="pct"/>
            <w:shd w:val="clear" w:color="FFFFFF" w:fill="BDD7EE"/>
            <w:vAlign w:val="center"/>
            <w:hideMark/>
          </w:tcPr>
          <w:p w14:paraId="1009C5EB"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Laboral</w:t>
            </w:r>
          </w:p>
        </w:tc>
        <w:tc>
          <w:tcPr>
            <w:tcW w:w="427" w:type="pct"/>
            <w:shd w:val="clear" w:color="FFFFFF" w:fill="BDD7EE"/>
            <w:vAlign w:val="center"/>
            <w:hideMark/>
          </w:tcPr>
          <w:p w14:paraId="61FA7FE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FFFFFF" w:fill="BDD7EE"/>
            <w:vAlign w:val="center"/>
            <w:hideMark/>
          </w:tcPr>
          <w:p w14:paraId="62093E8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FFFFFF" w:fill="BDD7EE"/>
            <w:vAlign w:val="center"/>
            <w:hideMark/>
          </w:tcPr>
          <w:p w14:paraId="17B0555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62C719C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0B3527CA" w14:textId="193FE07F" w:rsidR="001A6E91" w:rsidRPr="004B6036" w:rsidRDefault="005345ED"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18</w:t>
            </w:r>
          </w:p>
        </w:tc>
        <w:tc>
          <w:tcPr>
            <w:tcW w:w="213" w:type="pct"/>
            <w:shd w:val="clear" w:color="FFFFCC" w:fill="FFFF99"/>
            <w:vAlign w:val="center"/>
            <w:hideMark/>
          </w:tcPr>
          <w:p w14:paraId="114415D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18</w:t>
            </w:r>
          </w:p>
        </w:tc>
        <w:tc>
          <w:tcPr>
            <w:tcW w:w="208" w:type="pct"/>
            <w:shd w:val="clear" w:color="FFFFCC" w:fill="FFFF99"/>
            <w:vAlign w:val="center"/>
            <w:hideMark/>
          </w:tcPr>
          <w:p w14:paraId="7C06F8C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3282C70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20</w:t>
            </w:r>
          </w:p>
        </w:tc>
        <w:tc>
          <w:tcPr>
            <w:tcW w:w="157" w:type="pct"/>
            <w:shd w:val="clear" w:color="33CCCC" w:fill="C6E0B4"/>
            <w:vAlign w:val="center"/>
            <w:hideMark/>
          </w:tcPr>
          <w:p w14:paraId="5E1B392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556B870C" w14:textId="42942F3E"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w:t>
            </w:r>
            <w:r w:rsidR="00B80B03">
              <w:rPr>
                <w:rFonts w:ascii="Cambria" w:eastAsia="Times New Roman" w:hAnsi="Cambria" w:cs="Calibri"/>
                <w:sz w:val="12"/>
                <w:szCs w:val="12"/>
                <w:lang w:eastAsia="es-CR"/>
              </w:rPr>
              <w:t>6</w:t>
            </w:r>
          </w:p>
        </w:tc>
      </w:tr>
      <w:tr w:rsidR="00390FF5" w:rsidRPr="003D387C" w14:paraId="4485A27C" w14:textId="77777777" w:rsidTr="00390FF5">
        <w:trPr>
          <w:trHeight w:val="250"/>
        </w:trPr>
        <w:tc>
          <w:tcPr>
            <w:tcW w:w="507" w:type="pct"/>
            <w:vMerge/>
            <w:vAlign w:val="center"/>
            <w:hideMark/>
          </w:tcPr>
          <w:p w14:paraId="48598C40"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2E666092"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restart"/>
            <w:shd w:val="clear" w:color="FFFFFF" w:fill="DDEBF7"/>
            <w:vAlign w:val="center"/>
            <w:hideMark/>
          </w:tcPr>
          <w:p w14:paraId="28939B68"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Juez2</w:t>
            </w:r>
          </w:p>
        </w:tc>
        <w:tc>
          <w:tcPr>
            <w:tcW w:w="889" w:type="pct"/>
            <w:shd w:val="clear" w:color="FFFFFF" w:fill="DDEBF7"/>
            <w:vAlign w:val="center"/>
            <w:hideMark/>
          </w:tcPr>
          <w:p w14:paraId="41BD9A81"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Civil </w:t>
            </w:r>
          </w:p>
        </w:tc>
        <w:tc>
          <w:tcPr>
            <w:tcW w:w="427" w:type="pct"/>
            <w:shd w:val="clear" w:color="FFFFFF" w:fill="DDEBF7"/>
            <w:vAlign w:val="center"/>
            <w:hideMark/>
          </w:tcPr>
          <w:p w14:paraId="21DD29C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FFFFFF" w:fill="DDEBF7"/>
            <w:vAlign w:val="center"/>
            <w:hideMark/>
          </w:tcPr>
          <w:p w14:paraId="3C983B6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FFFFFF" w:fill="DDEBF7"/>
            <w:vAlign w:val="center"/>
            <w:hideMark/>
          </w:tcPr>
          <w:p w14:paraId="372C2AF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347967A7"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308A394D" w14:textId="49E545D3" w:rsidR="001A6E91" w:rsidRPr="004B6036" w:rsidRDefault="005345ED"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20</w:t>
            </w:r>
          </w:p>
        </w:tc>
        <w:tc>
          <w:tcPr>
            <w:tcW w:w="213" w:type="pct"/>
            <w:shd w:val="clear" w:color="FFFFCC" w:fill="FFFF99"/>
            <w:vAlign w:val="center"/>
            <w:hideMark/>
          </w:tcPr>
          <w:p w14:paraId="41C50B5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16</w:t>
            </w:r>
          </w:p>
        </w:tc>
        <w:tc>
          <w:tcPr>
            <w:tcW w:w="208" w:type="pct"/>
            <w:shd w:val="clear" w:color="FFFFCC" w:fill="FFFF99"/>
            <w:vAlign w:val="center"/>
            <w:hideMark/>
          </w:tcPr>
          <w:p w14:paraId="3F504C8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069423D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18</w:t>
            </w:r>
          </w:p>
        </w:tc>
        <w:tc>
          <w:tcPr>
            <w:tcW w:w="157" w:type="pct"/>
            <w:shd w:val="clear" w:color="33CCCC" w:fill="C6E0B4"/>
            <w:vAlign w:val="center"/>
            <w:hideMark/>
          </w:tcPr>
          <w:p w14:paraId="7C30D32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7821D217" w14:textId="7BB4837E"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w:t>
            </w:r>
            <w:r w:rsidR="00B80B03">
              <w:rPr>
                <w:rFonts w:ascii="Cambria" w:eastAsia="Times New Roman" w:hAnsi="Cambria" w:cs="Calibri"/>
                <w:sz w:val="12"/>
                <w:szCs w:val="12"/>
                <w:lang w:eastAsia="es-CR"/>
              </w:rPr>
              <w:t>8</w:t>
            </w:r>
          </w:p>
        </w:tc>
      </w:tr>
      <w:tr w:rsidR="00390FF5" w:rsidRPr="003D387C" w14:paraId="62ECD8DD" w14:textId="77777777" w:rsidTr="00390FF5">
        <w:trPr>
          <w:trHeight w:val="250"/>
        </w:trPr>
        <w:tc>
          <w:tcPr>
            <w:tcW w:w="507" w:type="pct"/>
            <w:vMerge/>
            <w:vAlign w:val="center"/>
            <w:hideMark/>
          </w:tcPr>
          <w:p w14:paraId="55B738B3"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71071A12"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388005B9"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889" w:type="pct"/>
            <w:shd w:val="clear" w:color="FFFFFF" w:fill="BDD7EE"/>
            <w:vAlign w:val="center"/>
            <w:hideMark/>
          </w:tcPr>
          <w:p w14:paraId="22685450"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Laboral</w:t>
            </w:r>
          </w:p>
        </w:tc>
        <w:tc>
          <w:tcPr>
            <w:tcW w:w="427" w:type="pct"/>
            <w:shd w:val="clear" w:color="FFFFFF" w:fill="BDD7EE"/>
            <w:vAlign w:val="center"/>
            <w:hideMark/>
          </w:tcPr>
          <w:p w14:paraId="17774D3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FFFFFF" w:fill="BDD7EE"/>
            <w:vAlign w:val="center"/>
            <w:hideMark/>
          </w:tcPr>
          <w:p w14:paraId="56D9194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FFFFFF" w:fill="BDD7EE"/>
            <w:vAlign w:val="center"/>
            <w:hideMark/>
          </w:tcPr>
          <w:p w14:paraId="61AAC54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6F5E250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09BE81C4" w14:textId="572582CA" w:rsidR="001A6E91" w:rsidRPr="004B6036" w:rsidRDefault="005345ED"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18</w:t>
            </w:r>
          </w:p>
        </w:tc>
        <w:tc>
          <w:tcPr>
            <w:tcW w:w="213" w:type="pct"/>
            <w:shd w:val="clear" w:color="FFFFCC" w:fill="FFFF99"/>
            <w:vAlign w:val="center"/>
            <w:hideMark/>
          </w:tcPr>
          <w:p w14:paraId="6C84ECF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18</w:t>
            </w:r>
          </w:p>
        </w:tc>
        <w:tc>
          <w:tcPr>
            <w:tcW w:w="208" w:type="pct"/>
            <w:shd w:val="clear" w:color="FFFFCC" w:fill="FFFF99"/>
            <w:vAlign w:val="center"/>
            <w:hideMark/>
          </w:tcPr>
          <w:p w14:paraId="42843C8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66134E9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20</w:t>
            </w:r>
          </w:p>
        </w:tc>
        <w:tc>
          <w:tcPr>
            <w:tcW w:w="157" w:type="pct"/>
            <w:shd w:val="clear" w:color="33CCCC" w:fill="C6E0B4"/>
            <w:vAlign w:val="center"/>
            <w:hideMark/>
          </w:tcPr>
          <w:p w14:paraId="0DBA527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3FF98840" w14:textId="55176FB3"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w:t>
            </w:r>
            <w:r w:rsidR="00B80B03">
              <w:rPr>
                <w:rFonts w:ascii="Cambria" w:eastAsia="Times New Roman" w:hAnsi="Cambria" w:cs="Calibri"/>
                <w:sz w:val="12"/>
                <w:szCs w:val="12"/>
                <w:lang w:eastAsia="es-CR"/>
              </w:rPr>
              <w:t>6</w:t>
            </w:r>
          </w:p>
        </w:tc>
      </w:tr>
      <w:tr w:rsidR="00390FF5" w:rsidRPr="003D387C" w14:paraId="2B8794B9" w14:textId="77777777" w:rsidTr="00390FF5">
        <w:trPr>
          <w:trHeight w:val="250"/>
        </w:trPr>
        <w:tc>
          <w:tcPr>
            <w:tcW w:w="507" w:type="pct"/>
            <w:vMerge/>
            <w:vAlign w:val="center"/>
            <w:hideMark/>
          </w:tcPr>
          <w:p w14:paraId="3348796B"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7E66BD42"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restart"/>
            <w:shd w:val="clear" w:color="FFFFFF" w:fill="DDEBF7"/>
            <w:vAlign w:val="center"/>
            <w:hideMark/>
          </w:tcPr>
          <w:p w14:paraId="46778071"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Juez3</w:t>
            </w:r>
          </w:p>
        </w:tc>
        <w:tc>
          <w:tcPr>
            <w:tcW w:w="889" w:type="pct"/>
            <w:shd w:val="clear" w:color="FFFFFF" w:fill="DDEBF7"/>
            <w:vAlign w:val="center"/>
            <w:hideMark/>
          </w:tcPr>
          <w:p w14:paraId="71874571"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Civil </w:t>
            </w:r>
          </w:p>
        </w:tc>
        <w:tc>
          <w:tcPr>
            <w:tcW w:w="427" w:type="pct"/>
            <w:shd w:val="clear" w:color="FFFFFF" w:fill="DDEBF7"/>
            <w:vAlign w:val="center"/>
            <w:hideMark/>
          </w:tcPr>
          <w:p w14:paraId="6D7FEA7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FFFFFF" w:fill="DDEBF7"/>
            <w:vAlign w:val="center"/>
            <w:hideMark/>
          </w:tcPr>
          <w:p w14:paraId="5F5214E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FFFFFF" w:fill="DDEBF7"/>
            <w:vAlign w:val="center"/>
            <w:hideMark/>
          </w:tcPr>
          <w:p w14:paraId="6AF95EC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7BB6B9B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2C00446E" w14:textId="7F250A94" w:rsidR="001A6E91" w:rsidRPr="004B6036" w:rsidRDefault="00382067"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20</w:t>
            </w:r>
          </w:p>
        </w:tc>
        <w:tc>
          <w:tcPr>
            <w:tcW w:w="213" w:type="pct"/>
            <w:shd w:val="clear" w:color="FFFFCC" w:fill="FFFF99"/>
            <w:vAlign w:val="center"/>
            <w:hideMark/>
          </w:tcPr>
          <w:p w14:paraId="214DEF6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16</w:t>
            </w:r>
          </w:p>
        </w:tc>
        <w:tc>
          <w:tcPr>
            <w:tcW w:w="208" w:type="pct"/>
            <w:shd w:val="clear" w:color="FFFFCC" w:fill="FFFF99"/>
            <w:vAlign w:val="center"/>
            <w:hideMark/>
          </w:tcPr>
          <w:p w14:paraId="45E6FCA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4977FE5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18</w:t>
            </w:r>
          </w:p>
        </w:tc>
        <w:tc>
          <w:tcPr>
            <w:tcW w:w="157" w:type="pct"/>
            <w:shd w:val="clear" w:color="33CCCC" w:fill="C6E0B4"/>
            <w:vAlign w:val="center"/>
            <w:hideMark/>
          </w:tcPr>
          <w:p w14:paraId="1B644D3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71F3A82C" w14:textId="4B13C6D4"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w:t>
            </w:r>
            <w:r w:rsidR="00B80B03">
              <w:rPr>
                <w:rFonts w:ascii="Cambria" w:eastAsia="Times New Roman" w:hAnsi="Cambria" w:cs="Calibri"/>
                <w:sz w:val="12"/>
                <w:szCs w:val="12"/>
                <w:lang w:eastAsia="es-CR"/>
              </w:rPr>
              <w:t>8</w:t>
            </w:r>
          </w:p>
        </w:tc>
      </w:tr>
      <w:tr w:rsidR="00390FF5" w:rsidRPr="003D387C" w14:paraId="45A4F188" w14:textId="77777777" w:rsidTr="00390FF5">
        <w:trPr>
          <w:trHeight w:val="250"/>
        </w:trPr>
        <w:tc>
          <w:tcPr>
            <w:tcW w:w="507" w:type="pct"/>
            <w:vMerge/>
            <w:vAlign w:val="center"/>
            <w:hideMark/>
          </w:tcPr>
          <w:p w14:paraId="0B61570D"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30553908"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5079C14C"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889" w:type="pct"/>
            <w:shd w:val="clear" w:color="FFFFFF" w:fill="BDD7EE"/>
            <w:vAlign w:val="center"/>
            <w:hideMark/>
          </w:tcPr>
          <w:p w14:paraId="69F94ED5"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Laboral</w:t>
            </w:r>
          </w:p>
        </w:tc>
        <w:tc>
          <w:tcPr>
            <w:tcW w:w="427" w:type="pct"/>
            <w:shd w:val="clear" w:color="FFFFFF" w:fill="BDD7EE"/>
            <w:vAlign w:val="center"/>
            <w:hideMark/>
          </w:tcPr>
          <w:p w14:paraId="1C52337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FFFFFF" w:fill="BDD7EE"/>
            <w:vAlign w:val="center"/>
            <w:hideMark/>
          </w:tcPr>
          <w:p w14:paraId="188E5B1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FFFFFF" w:fill="BDD7EE"/>
            <w:vAlign w:val="center"/>
            <w:hideMark/>
          </w:tcPr>
          <w:p w14:paraId="284A486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44C9056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05" w:type="pct"/>
            <w:shd w:val="clear" w:color="FF99CC" w:fill="FF8080"/>
            <w:vAlign w:val="center"/>
            <w:hideMark/>
          </w:tcPr>
          <w:p w14:paraId="6EE0A2F8" w14:textId="50BF7E9E" w:rsidR="001A6E91" w:rsidRPr="004B6036" w:rsidRDefault="00382067"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18</w:t>
            </w:r>
          </w:p>
        </w:tc>
        <w:tc>
          <w:tcPr>
            <w:tcW w:w="213" w:type="pct"/>
            <w:shd w:val="clear" w:color="FFFFCC" w:fill="FFFF99"/>
            <w:vAlign w:val="center"/>
            <w:hideMark/>
          </w:tcPr>
          <w:p w14:paraId="3AD8F58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18</w:t>
            </w:r>
          </w:p>
        </w:tc>
        <w:tc>
          <w:tcPr>
            <w:tcW w:w="208" w:type="pct"/>
            <w:shd w:val="clear" w:color="FFFFCC" w:fill="FFFF99"/>
            <w:vAlign w:val="center"/>
            <w:hideMark/>
          </w:tcPr>
          <w:p w14:paraId="305062E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16EF4BD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20</w:t>
            </w:r>
          </w:p>
        </w:tc>
        <w:tc>
          <w:tcPr>
            <w:tcW w:w="157" w:type="pct"/>
            <w:shd w:val="clear" w:color="33CCCC" w:fill="C6E0B4"/>
            <w:vAlign w:val="center"/>
            <w:hideMark/>
          </w:tcPr>
          <w:p w14:paraId="753CCCE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22" w:type="pct"/>
            <w:shd w:val="clear" w:color="33CCCC" w:fill="C6E0B4"/>
            <w:noWrap/>
            <w:vAlign w:val="center"/>
            <w:hideMark/>
          </w:tcPr>
          <w:p w14:paraId="388E4975" w14:textId="5D6957CD"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w:t>
            </w:r>
            <w:r w:rsidR="00B80B03">
              <w:rPr>
                <w:rFonts w:ascii="Cambria" w:eastAsia="Times New Roman" w:hAnsi="Cambria" w:cs="Calibri"/>
                <w:sz w:val="12"/>
                <w:szCs w:val="12"/>
                <w:lang w:eastAsia="es-CR"/>
              </w:rPr>
              <w:t>6</w:t>
            </w:r>
          </w:p>
        </w:tc>
      </w:tr>
      <w:tr w:rsidR="00390FF5" w:rsidRPr="003D387C" w14:paraId="4E08186B" w14:textId="77777777" w:rsidTr="00390FF5">
        <w:trPr>
          <w:trHeight w:val="1050"/>
        </w:trPr>
        <w:tc>
          <w:tcPr>
            <w:tcW w:w="507" w:type="pct"/>
            <w:vMerge/>
            <w:vAlign w:val="center"/>
            <w:hideMark/>
          </w:tcPr>
          <w:p w14:paraId="63D2DB0D"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restart"/>
            <w:shd w:val="clear" w:color="CCCCFF" w:fill="FFFFFF"/>
            <w:vAlign w:val="center"/>
            <w:hideMark/>
          </w:tcPr>
          <w:p w14:paraId="2B2A6A19"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10</w:t>
            </w:r>
          </w:p>
        </w:tc>
        <w:tc>
          <w:tcPr>
            <w:tcW w:w="530" w:type="pct"/>
            <w:shd w:val="clear" w:color="CCCCFF" w:fill="FFFFFF"/>
            <w:vAlign w:val="center"/>
            <w:hideMark/>
          </w:tcPr>
          <w:p w14:paraId="15351BE6" w14:textId="77777777" w:rsidR="001A6E91" w:rsidRPr="004B6036" w:rsidRDefault="001A6E91" w:rsidP="001A6E91">
            <w:pPr>
              <w:spacing w:after="0" w:line="240" w:lineRule="auto"/>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Cantidad de expedientes pasados a firmar</w:t>
            </w:r>
          </w:p>
        </w:tc>
        <w:tc>
          <w:tcPr>
            <w:tcW w:w="889" w:type="pct"/>
            <w:shd w:val="clear" w:color="auto" w:fill="auto"/>
            <w:noWrap/>
            <w:vAlign w:val="bottom"/>
            <w:hideMark/>
          </w:tcPr>
          <w:p w14:paraId="317BFFBA"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427" w:type="pct"/>
            <w:shd w:val="clear" w:color="CCCCFF" w:fill="FFFFFF"/>
            <w:vAlign w:val="center"/>
            <w:hideMark/>
          </w:tcPr>
          <w:p w14:paraId="7D0E4CB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Mensual</w:t>
            </w:r>
          </w:p>
        </w:tc>
        <w:tc>
          <w:tcPr>
            <w:tcW w:w="465" w:type="pct"/>
            <w:shd w:val="clear" w:color="CCCCFF" w:fill="FFFFFF"/>
            <w:vAlign w:val="center"/>
            <w:hideMark/>
          </w:tcPr>
          <w:p w14:paraId="28A334D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Coordinadora o Coordinador Judicial</w:t>
            </w:r>
          </w:p>
        </w:tc>
        <w:tc>
          <w:tcPr>
            <w:tcW w:w="603" w:type="pct"/>
            <w:shd w:val="clear" w:color="CCCCFF" w:fill="FFFFFF"/>
            <w:vAlign w:val="center"/>
            <w:hideMark/>
          </w:tcPr>
          <w:p w14:paraId="182F2D3F"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Este dato se obtiene del Escritorio Virtual. </w:t>
            </w:r>
          </w:p>
        </w:tc>
        <w:tc>
          <w:tcPr>
            <w:tcW w:w="178" w:type="pct"/>
            <w:shd w:val="clear" w:color="FF99CC" w:fill="FF8080"/>
            <w:vAlign w:val="center"/>
            <w:hideMark/>
          </w:tcPr>
          <w:p w14:paraId="64E7772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1ED2953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336</w:t>
            </w:r>
          </w:p>
        </w:tc>
        <w:tc>
          <w:tcPr>
            <w:tcW w:w="213" w:type="pct"/>
            <w:shd w:val="clear" w:color="FFFFCC" w:fill="FFFF99"/>
            <w:vAlign w:val="center"/>
            <w:hideMark/>
          </w:tcPr>
          <w:p w14:paraId="0FB24EF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338</w:t>
            </w:r>
          </w:p>
        </w:tc>
        <w:tc>
          <w:tcPr>
            <w:tcW w:w="208" w:type="pct"/>
            <w:shd w:val="clear" w:color="FFFFCC" w:fill="FFFF99"/>
            <w:vAlign w:val="center"/>
            <w:hideMark/>
          </w:tcPr>
          <w:p w14:paraId="468C559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10BC3F0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336</w:t>
            </w:r>
          </w:p>
        </w:tc>
        <w:tc>
          <w:tcPr>
            <w:tcW w:w="157" w:type="pct"/>
            <w:shd w:val="clear" w:color="33CCCC" w:fill="C6E0B4"/>
            <w:vAlign w:val="center"/>
            <w:hideMark/>
          </w:tcPr>
          <w:p w14:paraId="20C99ED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vAlign w:val="center"/>
            <w:hideMark/>
          </w:tcPr>
          <w:p w14:paraId="71E0898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338</w:t>
            </w:r>
          </w:p>
        </w:tc>
      </w:tr>
      <w:tr w:rsidR="00390FF5" w:rsidRPr="003D387C" w14:paraId="4467CB10" w14:textId="77777777" w:rsidTr="00390FF5">
        <w:trPr>
          <w:trHeight w:val="640"/>
        </w:trPr>
        <w:tc>
          <w:tcPr>
            <w:tcW w:w="507" w:type="pct"/>
            <w:vMerge/>
            <w:vAlign w:val="center"/>
            <w:hideMark/>
          </w:tcPr>
          <w:p w14:paraId="279D92C5"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6314577F"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shd w:val="clear" w:color="FFFFFF" w:fill="FFFFFF"/>
            <w:vAlign w:val="center"/>
            <w:hideMark/>
          </w:tcPr>
          <w:p w14:paraId="1E6D8B5D" w14:textId="77777777" w:rsidR="001A6E91" w:rsidRPr="004B6036" w:rsidRDefault="001A6E91" w:rsidP="001A6E91">
            <w:pPr>
              <w:spacing w:after="0" w:line="240" w:lineRule="auto"/>
              <w:jc w:val="right"/>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Persona Técnica Judicial 1</w:t>
            </w:r>
          </w:p>
        </w:tc>
        <w:tc>
          <w:tcPr>
            <w:tcW w:w="889" w:type="pct"/>
            <w:shd w:val="clear" w:color="CCCCFF" w:fill="FFFFFF"/>
            <w:vAlign w:val="center"/>
            <w:hideMark/>
          </w:tcPr>
          <w:p w14:paraId="6B883BA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27" w:type="pct"/>
            <w:shd w:val="clear" w:color="CCCCFF" w:fill="FFFFFF"/>
            <w:vAlign w:val="center"/>
            <w:hideMark/>
          </w:tcPr>
          <w:p w14:paraId="6465AA2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CCCCFF" w:fill="FFFFFF"/>
            <w:vAlign w:val="center"/>
            <w:hideMark/>
          </w:tcPr>
          <w:p w14:paraId="2B3E237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CCCCFF" w:fill="FFFFFF"/>
            <w:vAlign w:val="center"/>
            <w:hideMark/>
          </w:tcPr>
          <w:p w14:paraId="09E45385"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1764D86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12CDCA8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168</w:t>
            </w:r>
          </w:p>
        </w:tc>
        <w:tc>
          <w:tcPr>
            <w:tcW w:w="213" w:type="pct"/>
            <w:shd w:val="clear" w:color="FFFFCC" w:fill="FFFF99"/>
            <w:vAlign w:val="center"/>
            <w:hideMark/>
          </w:tcPr>
          <w:p w14:paraId="7BDF1C8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169</w:t>
            </w:r>
          </w:p>
        </w:tc>
        <w:tc>
          <w:tcPr>
            <w:tcW w:w="208" w:type="pct"/>
            <w:shd w:val="clear" w:color="FFFFCC" w:fill="FFFF99"/>
            <w:vAlign w:val="center"/>
            <w:hideMark/>
          </w:tcPr>
          <w:p w14:paraId="3955E9B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2FF4E62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168</w:t>
            </w:r>
          </w:p>
        </w:tc>
        <w:tc>
          <w:tcPr>
            <w:tcW w:w="157" w:type="pct"/>
            <w:shd w:val="clear" w:color="33CCCC" w:fill="C6E0B4"/>
            <w:vAlign w:val="center"/>
            <w:hideMark/>
          </w:tcPr>
          <w:p w14:paraId="612F497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vAlign w:val="center"/>
            <w:hideMark/>
          </w:tcPr>
          <w:p w14:paraId="6E22B43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169</w:t>
            </w:r>
          </w:p>
        </w:tc>
      </w:tr>
      <w:tr w:rsidR="00390FF5" w:rsidRPr="003D387C" w14:paraId="2118C63D" w14:textId="77777777" w:rsidTr="00390FF5">
        <w:trPr>
          <w:trHeight w:val="640"/>
        </w:trPr>
        <w:tc>
          <w:tcPr>
            <w:tcW w:w="507" w:type="pct"/>
            <w:vMerge/>
            <w:vAlign w:val="center"/>
            <w:hideMark/>
          </w:tcPr>
          <w:p w14:paraId="5CE60A0A"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001C0AB0"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shd w:val="clear" w:color="FFFFFF" w:fill="FFFFFF"/>
            <w:vAlign w:val="center"/>
            <w:hideMark/>
          </w:tcPr>
          <w:p w14:paraId="4ED2A860" w14:textId="77777777" w:rsidR="001A6E91" w:rsidRPr="004B6036" w:rsidRDefault="001A6E91" w:rsidP="001A6E91">
            <w:pPr>
              <w:spacing w:after="0" w:line="240" w:lineRule="auto"/>
              <w:jc w:val="right"/>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Persona Técnica Judicial 2</w:t>
            </w:r>
          </w:p>
        </w:tc>
        <w:tc>
          <w:tcPr>
            <w:tcW w:w="889" w:type="pct"/>
            <w:shd w:val="clear" w:color="CCCCFF" w:fill="FFFFFF"/>
            <w:vAlign w:val="center"/>
            <w:hideMark/>
          </w:tcPr>
          <w:p w14:paraId="02924BB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27" w:type="pct"/>
            <w:shd w:val="clear" w:color="CCCCFF" w:fill="FFFFFF"/>
            <w:vAlign w:val="center"/>
            <w:hideMark/>
          </w:tcPr>
          <w:p w14:paraId="416E548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CCCCFF" w:fill="FFFFFF"/>
            <w:vAlign w:val="center"/>
            <w:hideMark/>
          </w:tcPr>
          <w:p w14:paraId="40ACFA9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CCCCFF" w:fill="FFFFFF"/>
            <w:vAlign w:val="center"/>
            <w:hideMark/>
          </w:tcPr>
          <w:p w14:paraId="4715300B"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12E0E5A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58D6C80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168</w:t>
            </w:r>
          </w:p>
        </w:tc>
        <w:tc>
          <w:tcPr>
            <w:tcW w:w="213" w:type="pct"/>
            <w:shd w:val="clear" w:color="FFFFCC" w:fill="FFFF99"/>
            <w:vAlign w:val="center"/>
            <w:hideMark/>
          </w:tcPr>
          <w:p w14:paraId="42C398C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169</w:t>
            </w:r>
          </w:p>
        </w:tc>
        <w:tc>
          <w:tcPr>
            <w:tcW w:w="208" w:type="pct"/>
            <w:shd w:val="clear" w:color="FFFFCC" w:fill="FFFF99"/>
            <w:vAlign w:val="center"/>
            <w:hideMark/>
          </w:tcPr>
          <w:p w14:paraId="64C87F3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7AC4CC3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168</w:t>
            </w:r>
          </w:p>
        </w:tc>
        <w:tc>
          <w:tcPr>
            <w:tcW w:w="157" w:type="pct"/>
            <w:shd w:val="clear" w:color="33CCCC" w:fill="C6E0B4"/>
            <w:vAlign w:val="center"/>
            <w:hideMark/>
          </w:tcPr>
          <w:p w14:paraId="6ADB9AD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vAlign w:val="center"/>
            <w:hideMark/>
          </w:tcPr>
          <w:p w14:paraId="05D03F4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169</w:t>
            </w:r>
          </w:p>
        </w:tc>
      </w:tr>
      <w:tr w:rsidR="00390FF5" w:rsidRPr="003D387C" w14:paraId="2036BC7A" w14:textId="77777777" w:rsidTr="00390FF5">
        <w:trPr>
          <w:trHeight w:val="1150"/>
        </w:trPr>
        <w:tc>
          <w:tcPr>
            <w:tcW w:w="507" w:type="pct"/>
            <w:vMerge/>
            <w:vAlign w:val="center"/>
            <w:hideMark/>
          </w:tcPr>
          <w:p w14:paraId="4E79C928"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3126E9CF"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shd w:val="clear" w:color="CCCCFF" w:fill="FFFFFF"/>
            <w:vAlign w:val="center"/>
            <w:hideMark/>
          </w:tcPr>
          <w:p w14:paraId="3CE481B7" w14:textId="77777777" w:rsidR="001A6E91" w:rsidRPr="004B6036" w:rsidRDefault="001A6E91" w:rsidP="001A6E91">
            <w:pPr>
              <w:spacing w:after="0" w:line="240" w:lineRule="auto"/>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Porcentaje de rendimiento por persona técnica judicial</w:t>
            </w:r>
          </w:p>
        </w:tc>
        <w:tc>
          <w:tcPr>
            <w:tcW w:w="889" w:type="pct"/>
            <w:shd w:val="clear" w:color="CCCCFF" w:fill="FFFFFF"/>
            <w:vAlign w:val="center"/>
            <w:hideMark/>
          </w:tcPr>
          <w:p w14:paraId="2551295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(Cantidad de expedientes pasados a firmar / Cantidad de expedientes a realizar)</w:t>
            </w:r>
          </w:p>
        </w:tc>
        <w:tc>
          <w:tcPr>
            <w:tcW w:w="427" w:type="pct"/>
            <w:shd w:val="clear" w:color="CCCCFF" w:fill="FFFFFF"/>
            <w:vAlign w:val="center"/>
            <w:hideMark/>
          </w:tcPr>
          <w:p w14:paraId="35AAC81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Mensual</w:t>
            </w:r>
          </w:p>
        </w:tc>
        <w:tc>
          <w:tcPr>
            <w:tcW w:w="465" w:type="pct"/>
            <w:shd w:val="clear" w:color="CCCCFF" w:fill="FFFFFF"/>
            <w:vAlign w:val="center"/>
            <w:hideMark/>
          </w:tcPr>
          <w:p w14:paraId="73CBE98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Coordinadora o Coordinador Judicial</w:t>
            </w:r>
          </w:p>
        </w:tc>
        <w:tc>
          <w:tcPr>
            <w:tcW w:w="603" w:type="pct"/>
            <w:shd w:val="clear" w:color="CCCCFF" w:fill="FFFFFF"/>
            <w:vAlign w:val="center"/>
            <w:hideMark/>
          </w:tcPr>
          <w:p w14:paraId="70CA0C6C" w14:textId="4899E34A"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Debe existir una métrica por cada uno de </w:t>
            </w:r>
            <w:r w:rsidR="00321DF9" w:rsidRPr="003D387C">
              <w:rPr>
                <w:rFonts w:ascii="Cambria" w:eastAsia="Times New Roman" w:hAnsi="Cambria" w:cs="Calibri"/>
                <w:sz w:val="12"/>
                <w:szCs w:val="12"/>
                <w:lang w:eastAsia="es-CR"/>
              </w:rPr>
              <w:t>los técnicos</w:t>
            </w:r>
            <w:r w:rsidRPr="004B6036">
              <w:rPr>
                <w:rFonts w:ascii="Cambria" w:eastAsia="Times New Roman" w:hAnsi="Cambria" w:cs="Calibri"/>
                <w:sz w:val="12"/>
                <w:szCs w:val="12"/>
                <w:lang w:eastAsia="es-CR"/>
              </w:rPr>
              <w:t xml:space="preserve"> del despacho. </w:t>
            </w:r>
            <w:r w:rsidRPr="004B6036">
              <w:rPr>
                <w:rFonts w:ascii="Cambria" w:eastAsia="Times New Roman" w:hAnsi="Cambria" w:cs="Calibri"/>
                <w:sz w:val="12"/>
                <w:szCs w:val="12"/>
                <w:lang w:eastAsia="es-CR"/>
              </w:rPr>
              <w:br/>
              <w:t xml:space="preserve">Este dato se obtiene del Escritorio Virtual. </w:t>
            </w:r>
          </w:p>
        </w:tc>
        <w:tc>
          <w:tcPr>
            <w:tcW w:w="178" w:type="pct"/>
            <w:shd w:val="clear" w:color="FF99CC" w:fill="FF8080"/>
            <w:vAlign w:val="center"/>
            <w:hideMark/>
          </w:tcPr>
          <w:p w14:paraId="124B702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731AC88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95 %</w:t>
            </w:r>
          </w:p>
        </w:tc>
        <w:tc>
          <w:tcPr>
            <w:tcW w:w="213" w:type="pct"/>
            <w:shd w:val="clear" w:color="FFFFCC" w:fill="FFFF99"/>
            <w:noWrap/>
            <w:vAlign w:val="center"/>
            <w:hideMark/>
          </w:tcPr>
          <w:p w14:paraId="658B077B"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95 %</w:t>
            </w:r>
          </w:p>
        </w:tc>
        <w:tc>
          <w:tcPr>
            <w:tcW w:w="208" w:type="pct"/>
            <w:shd w:val="clear" w:color="FFFFCC" w:fill="FFFF99"/>
            <w:vAlign w:val="center"/>
            <w:hideMark/>
          </w:tcPr>
          <w:p w14:paraId="21AAD50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31BB0AC4"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100 %</w:t>
            </w:r>
          </w:p>
        </w:tc>
        <w:tc>
          <w:tcPr>
            <w:tcW w:w="157" w:type="pct"/>
            <w:shd w:val="clear" w:color="33CCCC" w:fill="C6E0B4"/>
            <w:vAlign w:val="center"/>
            <w:hideMark/>
          </w:tcPr>
          <w:p w14:paraId="6F98D4E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vAlign w:val="center"/>
            <w:hideMark/>
          </w:tcPr>
          <w:p w14:paraId="552C514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100 %</w:t>
            </w:r>
          </w:p>
        </w:tc>
      </w:tr>
      <w:tr w:rsidR="00390FF5" w:rsidRPr="003D387C" w14:paraId="296A32C4" w14:textId="77777777" w:rsidTr="00390FF5">
        <w:trPr>
          <w:trHeight w:val="500"/>
        </w:trPr>
        <w:tc>
          <w:tcPr>
            <w:tcW w:w="507" w:type="pct"/>
            <w:vMerge/>
            <w:vAlign w:val="center"/>
            <w:hideMark/>
          </w:tcPr>
          <w:p w14:paraId="6EE96A30"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0B9B936D"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shd w:val="clear" w:color="FFFFFF" w:fill="FFFFFF"/>
            <w:vAlign w:val="center"/>
            <w:hideMark/>
          </w:tcPr>
          <w:p w14:paraId="6A7363EF" w14:textId="77777777" w:rsidR="001A6E91" w:rsidRPr="004B6036" w:rsidRDefault="001A6E91" w:rsidP="001A6E91">
            <w:pPr>
              <w:spacing w:after="0" w:line="240" w:lineRule="auto"/>
              <w:jc w:val="right"/>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Persona Técnica Judicial 1</w:t>
            </w:r>
          </w:p>
        </w:tc>
        <w:tc>
          <w:tcPr>
            <w:tcW w:w="889" w:type="pct"/>
            <w:shd w:val="clear" w:color="000000" w:fill="FFFFFF"/>
            <w:vAlign w:val="center"/>
            <w:hideMark/>
          </w:tcPr>
          <w:p w14:paraId="67CDAF8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27" w:type="pct"/>
            <w:shd w:val="clear" w:color="000000" w:fill="FFFFFF"/>
            <w:vAlign w:val="center"/>
            <w:hideMark/>
          </w:tcPr>
          <w:p w14:paraId="58D3908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000000" w:fill="FFFFFF"/>
            <w:vAlign w:val="center"/>
            <w:hideMark/>
          </w:tcPr>
          <w:p w14:paraId="475B831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000000" w:fill="FFFFFF"/>
            <w:vAlign w:val="center"/>
            <w:hideMark/>
          </w:tcPr>
          <w:p w14:paraId="1CC2296F"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5FBC53C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56E5D11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95 %</w:t>
            </w:r>
          </w:p>
        </w:tc>
        <w:tc>
          <w:tcPr>
            <w:tcW w:w="213" w:type="pct"/>
            <w:shd w:val="clear" w:color="FFFFCC" w:fill="FFFF99"/>
            <w:noWrap/>
            <w:vAlign w:val="center"/>
            <w:hideMark/>
          </w:tcPr>
          <w:p w14:paraId="4992CE6C"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95 %</w:t>
            </w:r>
          </w:p>
        </w:tc>
        <w:tc>
          <w:tcPr>
            <w:tcW w:w="208" w:type="pct"/>
            <w:shd w:val="clear" w:color="FFFFCC" w:fill="FFFF99"/>
            <w:vAlign w:val="center"/>
            <w:hideMark/>
          </w:tcPr>
          <w:p w14:paraId="2005DD2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1C00F0F0"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100 %</w:t>
            </w:r>
          </w:p>
        </w:tc>
        <w:tc>
          <w:tcPr>
            <w:tcW w:w="157" w:type="pct"/>
            <w:shd w:val="clear" w:color="33CCCC" w:fill="C6E0B4"/>
            <w:vAlign w:val="center"/>
            <w:hideMark/>
          </w:tcPr>
          <w:p w14:paraId="6B27F8A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vAlign w:val="center"/>
            <w:hideMark/>
          </w:tcPr>
          <w:p w14:paraId="777A49B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100 %</w:t>
            </w:r>
          </w:p>
        </w:tc>
      </w:tr>
      <w:tr w:rsidR="00390FF5" w:rsidRPr="003D387C" w14:paraId="3F239C21" w14:textId="77777777" w:rsidTr="00390FF5">
        <w:trPr>
          <w:trHeight w:val="500"/>
        </w:trPr>
        <w:tc>
          <w:tcPr>
            <w:tcW w:w="507" w:type="pct"/>
            <w:vMerge/>
            <w:vAlign w:val="center"/>
            <w:hideMark/>
          </w:tcPr>
          <w:p w14:paraId="6A2A61D7"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76F870BC"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shd w:val="clear" w:color="FFFFFF" w:fill="FFFFFF"/>
            <w:vAlign w:val="center"/>
            <w:hideMark/>
          </w:tcPr>
          <w:p w14:paraId="3409D143" w14:textId="77777777" w:rsidR="001A6E91" w:rsidRPr="004B6036" w:rsidRDefault="001A6E91" w:rsidP="001A6E91">
            <w:pPr>
              <w:spacing w:after="0" w:line="240" w:lineRule="auto"/>
              <w:jc w:val="right"/>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Persona Técnica Judicial 2</w:t>
            </w:r>
          </w:p>
        </w:tc>
        <w:tc>
          <w:tcPr>
            <w:tcW w:w="889" w:type="pct"/>
            <w:shd w:val="clear" w:color="000000" w:fill="FFFFFF"/>
            <w:vAlign w:val="center"/>
            <w:hideMark/>
          </w:tcPr>
          <w:p w14:paraId="77ADBFA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27" w:type="pct"/>
            <w:shd w:val="clear" w:color="000000" w:fill="FFFFFF"/>
            <w:vAlign w:val="center"/>
            <w:hideMark/>
          </w:tcPr>
          <w:p w14:paraId="5F9E01A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000000" w:fill="FFFFFF"/>
            <w:vAlign w:val="center"/>
            <w:hideMark/>
          </w:tcPr>
          <w:p w14:paraId="4BB1F59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000000" w:fill="FFFFFF"/>
            <w:vAlign w:val="center"/>
            <w:hideMark/>
          </w:tcPr>
          <w:p w14:paraId="0526F20E"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4220BAE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7CAF3C7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95 %</w:t>
            </w:r>
          </w:p>
        </w:tc>
        <w:tc>
          <w:tcPr>
            <w:tcW w:w="213" w:type="pct"/>
            <w:shd w:val="clear" w:color="FFFFCC" w:fill="FFFF99"/>
            <w:noWrap/>
            <w:vAlign w:val="center"/>
            <w:hideMark/>
          </w:tcPr>
          <w:p w14:paraId="69B03198"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95 %</w:t>
            </w:r>
          </w:p>
        </w:tc>
        <w:tc>
          <w:tcPr>
            <w:tcW w:w="208" w:type="pct"/>
            <w:shd w:val="clear" w:color="FFFFCC" w:fill="FFFF99"/>
            <w:vAlign w:val="center"/>
            <w:hideMark/>
          </w:tcPr>
          <w:p w14:paraId="276B784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60F0F588"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100 %</w:t>
            </w:r>
          </w:p>
        </w:tc>
        <w:tc>
          <w:tcPr>
            <w:tcW w:w="157" w:type="pct"/>
            <w:shd w:val="clear" w:color="33CCCC" w:fill="C6E0B4"/>
            <w:vAlign w:val="center"/>
            <w:hideMark/>
          </w:tcPr>
          <w:p w14:paraId="17084AC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vAlign w:val="center"/>
            <w:hideMark/>
          </w:tcPr>
          <w:p w14:paraId="3429B57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100 %</w:t>
            </w:r>
          </w:p>
        </w:tc>
      </w:tr>
      <w:tr w:rsidR="00390FF5" w:rsidRPr="003D387C" w14:paraId="0A0C89C9" w14:textId="77777777" w:rsidTr="009C513B">
        <w:trPr>
          <w:trHeight w:val="2786"/>
        </w:trPr>
        <w:tc>
          <w:tcPr>
            <w:tcW w:w="507" w:type="pct"/>
            <w:vMerge/>
            <w:vAlign w:val="center"/>
            <w:hideMark/>
          </w:tcPr>
          <w:p w14:paraId="5429682B"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restart"/>
            <w:shd w:val="clear" w:color="CCCCFF" w:fill="FFFFFF"/>
            <w:vAlign w:val="center"/>
            <w:hideMark/>
          </w:tcPr>
          <w:p w14:paraId="538E0CB7"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11</w:t>
            </w:r>
          </w:p>
        </w:tc>
        <w:tc>
          <w:tcPr>
            <w:tcW w:w="530" w:type="pct"/>
            <w:shd w:val="clear" w:color="CCCCFF" w:fill="FFFFFF"/>
            <w:vAlign w:val="center"/>
            <w:hideMark/>
          </w:tcPr>
          <w:p w14:paraId="0B8AB32F"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Cantidad de sentencias dictadas </w:t>
            </w:r>
          </w:p>
        </w:tc>
        <w:tc>
          <w:tcPr>
            <w:tcW w:w="889" w:type="pct"/>
            <w:shd w:val="clear" w:color="CCCCFF" w:fill="FFFFFF"/>
            <w:vAlign w:val="center"/>
            <w:hideMark/>
          </w:tcPr>
          <w:p w14:paraId="6308B85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Cantidad de sentencias dictadas por juez o jueza</w:t>
            </w:r>
          </w:p>
        </w:tc>
        <w:tc>
          <w:tcPr>
            <w:tcW w:w="427" w:type="pct"/>
            <w:shd w:val="clear" w:color="CCCCFF" w:fill="FFFFFF"/>
            <w:vAlign w:val="center"/>
            <w:hideMark/>
          </w:tcPr>
          <w:p w14:paraId="60959AA7"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Mensual</w:t>
            </w:r>
          </w:p>
        </w:tc>
        <w:tc>
          <w:tcPr>
            <w:tcW w:w="465" w:type="pct"/>
            <w:shd w:val="clear" w:color="CCCCFF" w:fill="FFFFFF"/>
            <w:vAlign w:val="center"/>
            <w:hideMark/>
          </w:tcPr>
          <w:p w14:paraId="665AF4D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Coordinadora o Coordinador Judicial</w:t>
            </w:r>
          </w:p>
        </w:tc>
        <w:tc>
          <w:tcPr>
            <w:tcW w:w="603" w:type="pct"/>
            <w:shd w:val="clear" w:color="CCCCFF" w:fill="FFFFFF"/>
            <w:vAlign w:val="center"/>
            <w:hideMark/>
          </w:tcPr>
          <w:p w14:paraId="4A6F1BAB" w14:textId="7DB95549"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Debe existir una métrica por cada uno de </w:t>
            </w:r>
            <w:r w:rsidR="00321DF9" w:rsidRPr="003D387C">
              <w:rPr>
                <w:rFonts w:ascii="Cambria" w:eastAsia="Times New Roman" w:hAnsi="Cambria" w:cs="Calibri"/>
                <w:sz w:val="12"/>
                <w:szCs w:val="12"/>
                <w:lang w:eastAsia="es-CR"/>
              </w:rPr>
              <w:t>los jueces</w:t>
            </w:r>
            <w:r w:rsidRPr="004B6036">
              <w:rPr>
                <w:rFonts w:ascii="Cambria" w:eastAsia="Times New Roman" w:hAnsi="Cambria" w:cs="Calibri"/>
                <w:sz w:val="12"/>
                <w:szCs w:val="12"/>
                <w:lang w:eastAsia="es-CR"/>
              </w:rPr>
              <w:t xml:space="preserve"> del despacho. </w:t>
            </w:r>
            <w:r w:rsidRPr="004B6036">
              <w:rPr>
                <w:rFonts w:ascii="Cambria" w:eastAsia="Times New Roman" w:hAnsi="Cambria" w:cs="Calibri"/>
                <w:sz w:val="12"/>
                <w:szCs w:val="12"/>
                <w:lang w:eastAsia="es-CR"/>
              </w:rPr>
              <w:br/>
              <w:t>Este dato se obtiene del libro en el que se consignen las sentencias o el Sistema de Gestión de Despacho Judicial.</w:t>
            </w:r>
          </w:p>
        </w:tc>
        <w:tc>
          <w:tcPr>
            <w:tcW w:w="178" w:type="pct"/>
            <w:shd w:val="clear" w:color="FF99CC" w:fill="FF8080"/>
            <w:vAlign w:val="center"/>
            <w:hideMark/>
          </w:tcPr>
          <w:p w14:paraId="238540D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4A16650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51</w:t>
            </w:r>
          </w:p>
        </w:tc>
        <w:tc>
          <w:tcPr>
            <w:tcW w:w="213" w:type="pct"/>
            <w:shd w:val="clear" w:color="FFFFCC" w:fill="FFFF99"/>
            <w:vAlign w:val="center"/>
            <w:hideMark/>
          </w:tcPr>
          <w:p w14:paraId="582DC7D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57</w:t>
            </w:r>
          </w:p>
        </w:tc>
        <w:tc>
          <w:tcPr>
            <w:tcW w:w="208" w:type="pct"/>
            <w:shd w:val="clear" w:color="FFFFCC" w:fill="FFFF99"/>
            <w:vAlign w:val="center"/>
            <w:hideMark/>
          </w:tcPr>
          <w:p w14:paraId="6F58028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1E64FDA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51</w:t>
            </w:r>
          </w:p>
        </w:tc>
        <w:tc>
          <w:tcPr>
            <w:tcW w:w="157" w:type="pct"/>
            <w:shd w:val="clear" w:color="33CCCC" w:fill="C6E0B4"/>
            <w:vAlign w:val="center"/>
            <w:hideMark/>
          </w:tcPr>
          <w:p w14:paraId="2364EEE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noWrap/>
            <w:vAlign w:val="center"/>
            <w:hideMark/>
          </w:tcPr>
          <w:p w14:paraId="722ED77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57</w:t>
            </w:r>
          </w:p>
        </w:tc>
      </w:tr>
      <w:tr w:rsidR="00390FF5" w:rsidRPr="003D387C" w14:paraId="47F07C67" w14:textId="77777777" w:rsidTr="00390FF5">
        <w:trPr>
          <w:trHeight w:val="250"/>
        </w:trPr>
        <w:tc>
          <w:tcPr>
            <w:tcW w:w="507" w:type="pct"/>
            <w:vMerge/>
            <w:vAlign w:val="center"/>
            <w:hideMark/>
          </w:tcPr>
          <w:p w14:paraId="1E0E9540"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308078B1"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restart"/>
            <w:shd w:val="clear" w:color="FFFFFF" w:fill="BDD7EE"/>
            <w:vAlign w:val="center"/>
            <w:hideMark/>
          </w:tcPr>
          <w:p w14:paraId="4BA2D9DE"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Juez(a) 1</w:t>
            </w:r>
          </w:p>
        </w:tc>
        <w:tc>
          <w:tcPr>
            <w:tcW w:w="889" w:type="pct"/>
            <w:shd w:val="clear" w:color="FFFFFF" w:fill="BDD7EE"/>
            <w:vAlign w:val="center"/>
            <w:hideMark/>
          </w:tcPr>
          <w:p w14:paraId="418D02FF"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Civil </w:t>
            </w:r>
          </w:p>
        </w:tc>
        <w:tc>
          <w:tcPr>
            <w:tcW w:w="427" w:type="pct"/>
            <w:shd w:val="clear" w:color="FFFFFF" w:fill="BDD7EE"/>
            <w:vAlign w:val="center"/>
            <w:hideMark/>
          </w:tcPr>
          <w:p w14:paraId="59B8D94F" w14:textId="77777777" w:rsidR="001A6E91" w:rsidRPr="004B6036" w:rsidRDefault="001A6E91" w:rsidP="001A6E91">
            <w:pPr>
              <w:spacing w:after="0" w:line="240" w:lineRule="auto"/>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w:t>
            </w:r>
          </w:p>
        </w:tc>
        <w:tc>
          <w:tcPr>
            <w:tcW w:w="465" w:type="pct"/>
            <w:shd w:val="clear" w:color="FFFFFF" w:fill="BDD7EE"/>
            <w:vAlign w:val="center"/>
            <w:hideMark/>
          </w:tcPr>
          <w:p w14:paraId="2375A263" w14:textId="77777777" w:rsidR="001A6E91" w:rsidRPr="004B6036" w:rsidRDefault="001A6E91" w:rsidP="001A6E91">
            <w:pPr>
              <w:spacing w:after="0" w:line="240" w:lineRule="auto"/>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w:t>
            </w:r>
          </w:p>
        </w:tc>
        <w:tc>
          <w:tcPr>
            <w:tcW w:w="603" w:type="pct"/>
            <w:shd w:val="clear" w:color="FFFFFF" w:fill="BDD7EE"/>
            <w:vAlign w:val="center"/>
            <w:hideMark/>
          </w:tcPr>
          <w:p w14:paraId="72E37F03" w14:textId="77777777" w:rsidR="001A6E91" w:rsidRPr="004B6036" w:rsidRDefault="001A6E91" w:rsidP="001A6E91">
            <w:pPr>
              <w:spacing w:after="0" w:line="240" w:lineRule="auto"/>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w:t>
            </w:r>
          </w:p>
        </w:tc>
        <w:tc>
          <w:tcPr>
            <w:tcW w:w="178" w:type="pct"/>
            <w:shd w:val="clear" w:color="FF99CC" w:fill="FF8080"/>
            <w:vAlign w:val="center"/>
            <w:hideMark/>
          </w:tcPr>
          <w:p w14:paraId="1C8C882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564F4582" w14:textId="2D5A3C99" w:rsidR="001A6E91" w:rsidRPr="004B6036" w:rsidRDefault="00426DC0"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9</w:t>
            </w:r>
          </w:p>
        </w:tc>
        <w:tc>
          <w:tcPr>
            <w:tcW w:w="213" w:type="pct"/>
            <w:shd w:val="clear" w:color="FFFFCC" w:fill="FFFF99"/>
            <w:vAlign w:val="center"/>
            <w:hideMark/>
          </w:tcPr>
          <w:p w14:paraId="3A2A7F2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w:t>
            </w:r>
          </w:p>
        </w:tc>
        <w:tc>
          <w:tcPr>
            <w:tcW w:w="208" w:type="pct"/>
            <w:shd w:val="clear" w:color="FFFFCC" w:fill="FFFF99"/>
            <w:vAlign w:val="center"/>
            <w:hideMark/>
          </w:tcPr>
          <w:p w14:paraId="0B5D6087"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184CCE9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8</w:t>
            </w:r>
          </w:p>
        </w:tc>
        <w:tc>
          <w:tcPr>
            <w:tcW w:w="157" w:type="pct"/>
            <w:shd w:val="clear" w:color="33CCCC" w:fill="C6E0B4"/>
            <w:vAlign w:val="center"/>
            <w:hideMark/>
          </w:tcPr>
          <w:p w14:paraId="559E75D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noWrap/>
            <w:vAlign w:val="center"/>
            <w:hideMark/>
          </w:tcPr>
          <w:p w14:paraId="3B1C4E31" w14:textId="79D38D59" w:rsidR="001A6E91" w:rsidRPr="004B6036" w:rsidRDefault="00426DC0"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10</w:t>
            </w:r>
          </w:p>
        </w:tc>
      </w:tr>
      <w:tr w:rsidR="00390FF5" w:rsidRPr="003D387C" w14:paraId="1205C161" w14:textId="77777777" w:rsidTr="00390FF5">
        <w:trPr>
          <w:trHeight w:val="250"/>
        </w:trPr>
        <w:tc>
          <w:tcPr>
            <w:tcW w:w="507" w:type="pct"/>
            <w:vMerge/>
            <w:vAlign w:val="center"/>
            <w:hideMark/>
          </w:tcPr>
          <w:p w14:paraId="6FE143A5"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2FED150B"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354D0377"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889" w:type="pct"/>
            <w:shd w:val="clear" w:color="FFFFFF" w:fill="9BC2E6"/>
            <w:vAlign w:val="center"/>
            <w:hideMark/>
          </w:tcPr>
          <w:p w14:paraId="668AB61C"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Laboral</w:t>
            </w:r>
          </w:p>
        </w:tc>
        <w:tc>
          <w:tcPr>
            <w:tcW w:w="427" w:type="pct"/>
            <w:shd w:val="clear" w:color="FFFFFF" w:fill="9BC2E6"/>
            <w:vAlign w:val="center"/>
            <w:hideMark/>
          </w:tcPr>
          <w:p w14:paraId="72792DC1" w14:textId="77777777" w:rsidR="001A6E91" w:rsidRPr="004B6036" w:rsidRDefault="001A6E91" w:rsidP="001A6E91">
            <w:pPr>
              <w:spacing w:after="0" w:line="240" w:lineRule="auto"/>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w:t>
            </w:r>
          </w:p>
        </w:tc>
        <w:tc>
          <w:tcPr>
            <w:tcW w:w="465" w:type="pct"/>
            <w:shd w:val="clear" w:color="FFFFFF" w:fill="9BC2E6"/>
            <w:vAlign w:val="center"/>
            <w:hideMark/>
          </w:tcPr>
          <w:p w14:paraId="2DDD404C" w14:textId="77777777" w:rsidR="001A6E91" w:rsidRPr="004B6036" w:rsidRDefault="001A6E91" w:rsidP="001A6E91">
            <w:pPr>
              <w:spacing w:after="0" w:line="240" w:lineRule="auto"/>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w:t>
            </w:r>
          </w:p>
        </w:tc>
        <w:tc>
          <w:tcPr>
            <w:tcW w:w="603" w:type="pct"/>
            <w:shd w:val="clear" w:color="FFFFFF" w:fill="9BC2E6"/>
            <w:vAlign w:val="center"/>
            <w:hideMark/>
          </w:tcPr>
          <w:p w14:paraId="1BF86EC4" w14:textId="77777777" w:rsidR="001A6E91" w:rsidRPr="004B6036" w:rsidRDefault="001A6E91" w:rsidP="001A6E91">
            <w:pPr>
              <w:spacing w:after="0" w:line="240" w:lineRule="auto"/>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w:t>
            </w:r>
          </w:p>
        </w:tc>
        <w:tc>
          <w:tcPr>
            <w:tcW w:w="178" w:type="pct"/>
            <w:shd w:val="clear" w:color="FF99CC" w:fill="FF8080"/>
            <w:vAlign w:val="center"/>
            <w:hideMark/>
          </w:tcPr>
          <w:p w14:paraId="24BE0FC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2A70E099" w14:textId="43E29262" w:rsidR="001A6E91" w:rsidRPr="004B6036" w:rsidRDefault="00426DC0"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8</w:t>
            </w:r>
          </w:p>
        </w:tc>
        <w:tc>
          <w:tcPr>
            <w:tcW w:w="213" w:type="pct"/>
            <w:shd w:val="clear" w:color="FFFFCC" w:fill="FFFF99"/>
            <w:vAlign w:val="center"/>
            <w:hideMark/>
          </w:tcPr>
          <w:p w14:paraId="47651F1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10</w:t>
            </w:r>
          </w:p>
        </w:tc>
        <w:tc>
          <w:tcPr>
            <w:tcW w:w="208" w:type="pct"/>
            <w:shd w:val="clear" w:color="FFFFCC" w:fill="FFFF99"/>
            <w:vAlign w:val="center"/>
            <w:hideMark/>
          </w:tcPr>
          <w:p w14:paraId="0D671A4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476752C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w:t>
            </w:r>
          </w:p>
        </w:tc>
        <w:tc>
          <w:tcPr>
            <w:tcW w:w="157" w:type="pct"/>
            <w:shd w:val="clear" w:color="33CCCC" w:fill="C6E0B4"/>
            <w:vAlign w:val="center"/>
            <w:hideMark/>
          </w:tcPr>
          <w:p w14:paraId="61E09A3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noWrap/>
            <w:vAlign w:val="center"/>
            <w:hideMark/>
          </w:tcPr>
          <w:p w14:paraId="00888FEA" w14:textId="6616879A" w:rsidR="001A6E91" w:rsidRPr="004B6036" w:rsidRDefault="00426DC0"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9</w:t>
            </w:r>
          </w:p>
        </w:tc>
      </w:tr>
      <w:tr w:rsidR="00390FF5" w:rsidRPr="003D387C" w14:paraId="5C5307BA" w14:textId="77777777" w:rsidTr="00390FF5">
        <w:trPr>
          <w:trHeight w:val="250"/>
        </w:trPr>
        <w:tc>
          <w:tcPr>
            <w:tcW w:w="507" w:type="pct"/>
            <w:vMerge/>
            <w:vAlign w:val="center"/>
            <w:hideMark/>
          </w:tcPr>
          <w:p w14:paraId="01D850A7"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629ACE4D"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restart"/>
            <w:shd w:val="clear" w:color="FFFFFF" w:fill="BDD7EE"/>
            <w:vAlign w:val="center"/>
            <w:hideMark/>
          </w:tcPr>
          <w:p w14:paraId="67E947F0"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Juez(a) 2</w:t>
            </w:r>
          </w:p>
        </w:tc>
        <w:tc>
          <w:tcPr>
            <w:tcW w:w="889" w:type="pct"/>
            <w:shd w:val="clear" w:color="FFFFFF" w:fill="BDD7EE"/>
            <w:vAlign w:val="center"/>
            <w:hideMark/>
          </w:tcPr>
          <w:p w14:paraId="7B79A0D2"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Civil </w:t>
            </w:r>
          </w:p>
        </w:tc>
        <w:tc>
          <w:tcPr>
            <w:tcW w:w="427" w:type="pct"/>
            <w:shd w:val="clear" w:color="FFFFFF" w:fill="BDD7EE"/>
            <w:vAlign w:val="center"/>
            <w:hideMark/>
          </w:tcPr>
          <w:p w14:paraId="041B81F1" w14:textId="77777777" w:rsidR="001A6E91" w:rsidRPr="004B6036" w:rsidRDefault="001A6E91" w:rsidP="001A6E91">
            <w:pPr>
              <w:spacing w:after="0" w:line="240" w:lineRule="auto"/>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w:t>
            </w:r>
          </w:p>
        </w:tc>
        <w:tc>
          <w:tcPr>
            <w:tcW w:w="465" w:type="pct"/>
            <w:shd w:val="clear" w:color="FFFFFF" w:fill="BDD7EE"/>
            <w:vAlign w:val="center"/>
            <w:hideMark/>
          </w:tcPr>
          <w:p w14:paraId="2E54B286" w14:textId="77777777" w:rsidR="001A6E91" w:rsidRPr="004B6036" w:rsidRDefault="001A6E91" w:rsidP="001A6E91">
            <w:pPr>
              <w:spacing w:after="0" w:line="240" w:lineRule="auto"/>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w:t>
            </w:r>
          </w:p>
        </w:tc>
        <w:tc>
          <w:tcPr>
            <w:tcW w:w="603" w:type="pct"/>
            <w:shd w:val="clear" w:color="FFFFFF" w:fill="BDD7EE"/>
            <w:vAlign w:val="center"/>
            <w:hideMark/>
          </w:tcPr>
          <w:p w14:paraId="02518C76" w14:textId="77777777" w:rsidR="001A6E91" w:rsidRPr="004B6036" w:rsidRDefault="001A6E91" w:rsidP="001A6E91">
            <w:pPr>
              <w:spacing w:after="0" w:line="240" w:lineRule="auto"/>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w:t>
            </w:r>
          </w:p>
        </w:tc>
        <w:tc>
          <w:tcPr>
            <w:tcW w:w="178" w:type="pct"/>
            <w:shd w:val="clear" w:color="FF99CC" w:fill="FF8080"/>
            <w:vAlign w:val="center"/>
            <w:hideMark/>
          </w:tcPr>
          <w:p w14:paraId="0D862CD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6F71E5E7" w14:textId="095CFC29" w:rsidR="001A6E91" w:rsidRPr="004B6036" w:rsidRDefault="00426DC0"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9</w:t>
            </w:r>
          </w:p>
        </w:tc>
        <w:tc>
          <w:tcPr>
            <w:tcW w:w="213" w:type="pct"/>
            <w:shd w:val="clear" w:color="FFFFCC" w:fill="FFFF99"/>
            <w:vAlign w:val="center"/>
            <w:hideMark/>
          </w:tcPr>
          <w:p w14:paraId="7F8DC48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w:t>
            </w:r>
          </w:p>
        </w:tc>
        <w:tc>
          <w:tcPr>
            <w:tcW w:w="208" w:type="pct"/>
            <w:shd w:val="clear" w:color="FFFFCC" w:fill="FFFF99"/>
            <w:vAlign w:val="center"/>
            <w:hideMark/>
          </w:tcPr>
          <w:p w14:paraId="7CBA5C5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14747C7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8</w:t>
            </w:r>
          </w:p>
        </w:tc>
        <w:tc>
          <w:tcPr>
            <w:tcW w:w="157" w:type="pct"/>
            <w:shd w:val="clear" w:color="33CCCC" w:fill="C6E0B4"/>
            <w:vAlign w:val="center"/>
            <w:hideMark/>
          </w:tcPr>
          <w:p w14:paraId="53D70657"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noWrap/>
            <w:vAlign w:val="center"/>
            <w:hideMark/>
          </w:tcPr>
          <w:p w14:paraId="7B1B2B24" w14:textId="4F4262DF" w:rsidR="001A6E91" w:rsidRPr="004B6036" w:rsidRDefault="00426DC0"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10</w:t>
            </w:r>
          </w:p>
        </w:tc>
      </w:tr>
      <w:tr w:rsidR="00390FF5" w:rsidRPr="003D387C" w14:paraId="6AD723CA" w14:textId="77777777" w:rsidTr="00390FF5">
        <w:trPr>
          <w:trHeight w:val="250"/>
        </w:trPr>
        <w:tc>
          <w:tcPr>
            <w:tcW w:w="507" w:type="pct"/>
            <w:vMerge/>
            <w:vAlign w:val="center"/>
            <w:hideMark/>
          </w:tcPr>
          <w:p w14:paraId="785C49F3"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078DF840"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6C796439"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889" w:type="pct"/>
            <w:shd w:val="clear" w:color="FFFFFF" w:fill="9BC2E6"/>
            <w:vAlign w:val="center"/>
            <w:hideMark/>
          </w:tcPr>
          <w:p w14:paraId="0806C8A9"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Laboral</w:t>
            </w:r>
          </w:p>
        </w:tc>
        <w:tc>
          <w:tcPr>
            <w:tcW w:w="427" w:type="pct"/>
            <w:shd w:val="clear" w:color="FFFFFF" w:fill="9BC2E6"/>
            <w:vAlign w:val="center"/>
            <w:hideMark/>
          </w:tcPr>
          <w:p w14:paraId="074CA8E1" w14:textId="77777777" w:rsidR="001A6E91" w:rsidRPr="004B6036" w:rsidRDefault="001A6E91" w:rsidP="001A6E91">
            <w:pPr>
              <w:spacing w:after="0" w:line="240" w:lineRule="auto"/>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w:t>
            </w:r>
          </w:p>
        </w:tc>
        <w:tc>
          <w:tcPr>
            <w:tcW w:w="465" w:type="pct"/>
            <w:shd w:val="clear" w:color="FFFFFF" w:fill="9BC2E6"/>
            <w:vAlign w:val="center"/>
            <w:hideMark/>
          </w:tcPr>
          <w:p w14:paraId="22F77D08" w14:textId="77777777" w:rsidR="001A6E91" w:rsidRPr="004B6036" w:rsidRDefault="001A6E91" w:rsidP="001A6E91">
            <w:pPr>
              <w:spacing w:after="0" w:line="240" w:lineRule="auto"/>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w:t>
            </w:r>
          </w:p>
        </w:tc>
        <w:tc>
          <w:tcPr>
            <w:tcW w:w="603" w:type="pct"/>
            <w:shd w:val="clear" w:color="FFFFFF" w:fill="9BC2E6"/>
            <w:vAlign w:val="center"/>
            <w:hideMark/>
          </w:tcPr>
          <w:p w14:paraId="0B8465B7" w14:textId="77777777" w:rsidR="001A6E91" w:rsidRPr="004B6036" w:rsidRDefault="001A6E91" w:rsidP="001A6E91">
            <w:pPr>
              <w:spacing w:after="0" w:line="240" w:lineRule="auto"/>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w:t>
            </w:r>
          </w:p>
        </w:tc>
        <w:tc>
          <w:tcPr>
            <w:tcW w:w="178" w:type="pct"/>
            <w:shd w:val="clear" w:color="FF99CC" w:fill="FF8080"/>
            <w:vAlign w:val="center"/>
            <w:hideMark/>
          </w:tcPr>
          <w:p w14:paraId="713ECDB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11677E3D" w14:textId="40D7E4C5" w:rsidR="001A6E91" w:rsidRPr="004B6036" w:rsidRDefault="00426DC0"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8</w:t>
            </w:r>
          </w:p>
        </w:tc>
        <w:tc>
          <w:tcPr>
            <w:tcW w:w="213" w:type="pct"/>
            <w:shd w:val="clear" w:color="FFFFCC" w:fill="FFFF99"/>
            <w:vAlign w:val="center"/>
            <w:hideMark/>
          </w:tcPr>
          <w:p w14:paraId="4A62B50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10</w:t>
            </w:r>
          </w:p>
        </w:tc>
        <w:tc>
          <w:tcPr>
            <w:tcW w:w="208" w:type="pct"/>
            <w:shd w:val="clear" w:color="FFFFCC" w:fill="FFFF99"/>
            <w:vAlign w:val="center"/>
            <w:hideMark/>
          </w:tcPr>
          <w:p w14:paraId="47C71F8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3D11B6B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w:t>
            </w:r>
          </w:p>
        </w:tc>
        <w:tc>
          <w:tcPr>
            <w:tcW w:w="157" w:type="pct"/>
            <w:shd w:val="clear" w:color="33CCCC" w:fill="C6E0B4"/>
            <w:vAlign w:val="center"/>
            <w:hideMark/>
          </w:tcPr>
          <w:p w14:paraId="6B9C670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noWrap/>
            <w:vAlign w:val="center"/>
            <w:hideMark/>
          </w:tcPr>
          <w:p w14:paraId="6A2A10E5" w14:textId="357038A7" w:rsidR="001A6E91" w:rsidRPr="004B6036" w:rsidRDefault="00426DC0"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9</w:t>
            </w:r>
          </w:p>
        </w:tc>
      </w:tr>
      <w:tr w:rsidR="00390FF5" w:rsidRPr="003D387C" w14:paraId="76C0F956" w14:textId="77777777" w:rsidTr="00390FF5">
        <w:trPr>
          <w:trHeight w:val="250"/>
        </w:trPr>
        <w:tc>
          <w:tcPr>
            <w:tcW w:w="507" w:type="pct"/>
            <w:vMerge/>
            <w:vAlign w:val="center"/>
            <w:hideMark/>
          </w:tcPr>
          <w:p w14:paraId="5A84ED39"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388D92D4"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restart"/>
            <w:shd w:val="clear" w:color="FFFFFF" w:fill="BDD7EE"/>
            <w:vAlign w:val="center"/>
            <w:hideMark/>
          </w:tcPr>
          <w:p w14:paraId="2A4690CE"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Juez(a) 3</w:t>
            </w:r>
          </w:p>
        </w:tc>
        <w:tc>
          <w:tcPr>
            <w:tcW w:w="889" w:type="pct"/>
            <w:shd w:val="clear" w:color="FFFFFF" w:fill="BDD7EE"/>
            <w:vAlign w:val="center"/>
            <w:hideMark/>
          </w:tcPr>
          <w:p w14:paraId="702DF4BE"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Civil </w:t>
            </w:r>
          </w:p>
        </w:tc>
        <w:tc>
          <w:tcPr>
            <w:tcW w:w="427" w:type="pct"/>
            <w:shd w:val="clear" w:color="FFFFFF" w:fill="BDD7EE"/>
            <w:vAlign w:val="center"/>
            <w:hideMark/>
          </w:tcPr>
          <w:p w14:paraId="2E1308EC" w14:textId="77777777" w:rsidR="001A6E91" w:rsidRPr="004B6036" w:rsidRDefault="001A6E91" w:rsidP="001A6E91">
            <w:pPr>
              <w:spacing w:after="0" w:line="240" w:lineRule="auto"/>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w:t>
            </w:r>
          </w:p>
        </w:tc>
        <w:tc>
          <w:tcPr>
            <w:tcW w:w="465" w:type="pct"/>
            <w:shd w:val="clear" w:color="FFFFFF" w:fill="BDD7EE"/>
            <w:vAlign w:val="center"/>
            <w:hideMark/>
          </w:tcPr>
          <w:p w14:paraId="2B4A0ECB" w14:textId="77777777" w:rsidR="001A6E91" w:rsidRPr="004B6036" w:rsidRDefault="001A6E91" w:rsidP="001A6E91">
            <w:pPr>
              <w:spacing w:after="0" w:line="240" w:lineRule="auto"/>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w:t>
            </w:r>
          </w:p>
        </w:tc>
        <w:tc>
          <w:tcPr>
            <w:tcW w:w="603" w:type="pct"/>
            <w:shd w:val="clear" w:color="FFFFFF" w:fill="BDD7EE"/>
            <w:vAlign w:val="center"/>
            <w:hideMark/>
          </w:tcPr>
          <w:p w14:paraId="5326390B" w14:textId="77777777" w:rsidR="001A6E91" w:rsidRPr="004B6036" w:rsidRDefault="001A6E91" w:rsidP="001A6E91">
            <w:pPr>
              <w:spacing w:after="0" w:line="240" w:lineRule="auto"/>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w:t>
            </w:r>
          </w:p>
        </w:tc>
        <w:tc>
          <w:tcPr>
            <w:tcW w:w="178" w:type="pct"/>
            <w:shd w:val="clear" w:color="FF99CC" w:fill="FF8080"/>
            <w:vAlign w:val="center"/>
            <w:hideMark/>
          </w:tcPr>
          <w:p w14:paraId="7C6736C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1EAD840E" w14:textId="2D3A2567" w:rsidR="001A6E91" w:rsidRPr="004B6036" w:rsidRDefault="00426DC0"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9</w:t>
            </w:r>
          </w:p>
        </w:tc>
        <w:tc>
          <w:tcPr>
            <w:tcW w:w="213" w:type="pct"/>
            <w:shd w:val="clear" w:color="FFFFCC" w:fill="FFFF99"/>
            <w:vAlign w:val="center"/>
            <w:hideMark/>
          </w:tcPr>
          <w:p w14:paraId="01AFC80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w:t>
            </w:r>
          </w:p>
        </w:tc>
        <w:tc>
          <w:tcPr>
            <w:tcW w:w="208" w:type="pct"/>
            <w:shd w:val="clear" w:color="FFFFCC" w:fill="FFFF99"/>
            <w:vAlign w:val="center"/>
            <w:hideMark/>
          </w:tcPr>
          <w:p w14:paraId="4F9A990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78EE6B0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8</w:t>
            </w:r>
          </w:p>
        </w:tc>
        <w:tc>
          <w:tcPr>
            <w:tcW w:w="157" w:type="pct"/>
            <w:shd w:val="clear" w:color="33CCCC" w:fill="C6E0B4"/>
            <w:vAlign w:val="center"/>
            <w:hideMark/>
          </w:tcPr>
          <w:p w14:paraId="6D8BE9B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noWrap/>
            <w:vAlign w:val="center"/>
            <w:hideMark/>
          </w:tcPr>
          <w:p w14:paraId="2B910D89" w14:textId="2AB9A5E1" w:rsidR="001A6E91" w:rsidRPr="004B6036" w:rsidRDefault="00426DC0"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10</w:t>
            </w:r>
          </w:p>
        </w:tc>
      </w:tr>
      <w:tr w:rsidR="00390FF5" w:rsidRPr="003D387C" w14:paraId="3DEF3197" w14:textId="77777777" w:rsidTr="00390FF5">
        <w:trPr>
          <w:trHeight w:val="250"/>
        </w:trPr>
        <w:tc>
          <w:tcPr>
            <w:tcW w:w="507" w:type="pct"/>
            <w:vMerge/>
            <w:vAlign w:val="center"/>
            <w:hideMark/>
          </w:tcPr>
          <w:p w14:paraId="642A5DC3"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485BF60E"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0AFB465D"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889" w:type="pct"/>
            <w:shd w:val="clear" w:color="FFFFFF" w:fill="9BC2E6"/>
            <w:vAlign w:val="center"/>
            <w:hideMark/>
          </w:tcPr>
          <w:p w14:paraId="64C71801"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Laboral</w:t>
            </w:r>
          </w:p>
        </w:tc>
        <w:tc>
          <w:tcPr>
            <w:tcW w:w="427" w:type="pct"/>
            <w:shd w:val="clear" w:color="FFFFFF" w:fill="9BC2E6"/>
            <w:vAlign w:val="center"/>
            <w:hideMark/>
          </w:tcPr>
          <w:p w14:paraId="44F0BD5F" w14:textId="77777777" w:rsidR="001A6E91" w:rsidRPr="004B6036" w:rsidRDefault="001A6E91" w:rsidP="001A6E91">
            <w:pPr>
              <w:spacing w:after="0" w:line="240" w:lineRule="auto"/>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w:t>
            </w:r>
          </w:p>
        </w:tc>
        <w:tc>
          <w:tcPr>
            <w:tcW w:w="465" w:type="pct"/>
            <w:shd w:val="clear" w:color="FFFFFF" w:fill="9BC2E6"/>
            <w:vAlign w:val="center"/>
            <w:hideMark/>
          </w:tcPr>
          <w:p w14:paraId="629DCBA3" w14:textId="77777777" w:rsidR="001A6E91" w:rsidRPr="004B6036" w:rsidRDefault="001A6E91" w:rsidP="001A6E91">
            <w:pPr>
              <w:spacing w:after="0" w:line="240" w:lineRule="auto"/>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w:t>
            </w:r>
          </w:p>
        </w:tc>
        <w:tc>
          <w:tcPr>
            <w:tcW w:w="603" w:type="pct"/>
            <w:shd w:val="clear" w:color="FFFFFF" w:fill="9BC2E6"/>
            <w:vAlign w:val="center"/>
            <w:hideMark/>
          </w:tcPr>
          <w:p w14:paraId="5A9A1C28" w14:textId="77777777" w:rsidR="001A6E91" w:rsidRPr="004B6036" w:rsidRDefault="001A6E91" w:rsidP="001A6E91">
            <w:pPr>
              <w:spacing w:after="0" w:line="240" w:lineRule="auto"/>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w:t>
            </w:r>
          </w:p>
        </w:tc>
        <w:tc>
          <w:tcPr>
            <w:tcW w:w="178" w:type="pct"/>
            <w:shd w:val="clear" w:color="FF99CC" w:fill="FF8080"/>
            <w:vAlign w:val="center"/>
            <w:hideMark/>
          </w:tcPr>
          <w:p w14:paraId="6537129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0CD1A99D" w14:textId="2F1D6AD4" w:rsidR="001A6E91" w:rsidRPr="004B6036" w:rsidRDefault="00426DC0"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8</w:t>
            </w:r>
          </w:p>
        </w:tc>
        <w:tc>
          <w:tcPr>
            <w:tcW w:w="213" w:type="pct"/>
            <w:shd w:val="clear" w:color="FFFFCC" w:fill="FFFF99"/>
            <w:vAlign w:val="center"/>
            <w:hideMark/>
          </w:tcPr>
          <w:p w14:paraId="6264B5B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10</w:t>
            </w:r>
          </w:p>
        </w:tc>
        <w:tc>
          <w:tcPr>
            <w:tcW w:w="208" w:type="pct"/>
            <w:shd w:val="clear" w:color="FFFFCC" w:fill="FFFF99"/>
            <w:vAlign w:val="center"/>
            <w:hideMark/>
          </w:tcPr>
          <w:p w14:paraId="4C9B0FF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73C0F15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w:t>
            </w:r>
          </w:p>
        </w:tc>
        <w:tc>
          <w:tcPr>
            <w:tcW w:w="157" w:type="pct"/>
            <w:shd w:val="clear" w:color="33CCCC" w:fill="C6E0B4"/>
            <w:vAlign w:val="center"/>
            <w:hideMark/>
          </w:tcPr>
          <w:p w14:paraId="4BF86D2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noWrap/>
            <w:vAlign w:val="center"/>
            <w:hideMark/>
          </w:tcPr>
          <w:p w14:paraId="148142DF" w14:textId="16980270" w:rsidR="001A6E91" w:rsidRPr="004B6036" w:rsidRDefault="00426DC0" w:rsidP="001A6E91">
            <w:pPr>
              <w:spacing w:after="0" w:line="240" w:lineRule="auto"/>
              <w:jc w:val="center"/>
              <w:rPr>
                <w:rFonts w:ascii="Cambria" w:eastAsia="Times New Roman" w:hAnsi="Cambria" w:cs="Calibri"/>
                <w:sz w:val="12"/>
                <w:szCs w:val="12"/>
                <w:lang w:eastAsia="es-CR"/>
              </w:rPr>
            </w:pPr>
            <w:r>
              <w:rPr>
                <w:rFonts w:ascii="Cambria" w:eastAsia="Times New Roman" w:hAnsi="Cambria" w:cs="Calibri"/>
                <w:sz w:val="12"/>
                <w:szCs w:val="12"/>
                <w:lang w:eastAsia="es-CR"/>
              </w:rPr>
              <w:t>9</w:t>
            </w:r>
          </w:p>
        </w:tc>
      </w:tr>
      <w:tr w:rsidR="00390FF5" w:rsidRPr="003D387C" w14:paraId="656EDC90" w14:textId="77777777" w:rsidTr="009C513B">
        <w:trPr>
          <w:trHeight w:val="2184"/>
        </w:trPr>
        <w:tc>
          <w:tcPr>
            <w:tcW w:w="507" w:type="pct"/>
            <w:vMerge/>
            <w:vAlign w:val="center"/>
            <w:hideMark/>
          </w:tcPr>
          <w:p w14:paraId="1C4E39C3"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restart"/>
            <w:shd w:val="clear" w:color="CCCCFF" w:fill="FFFFFF"/>
            <w:vAlign w:val="center"/>
            <w:hideMark/>
          </w:tcPr>
          <w:p w14:paraId="000AA165" w14:textId="77777777" w:rsidR="001A6E91" w:rsidRPr="004B6036" w:rsidRDefault="001A6E91" w:rsidP="001A6E91">
            <w:pPr>
              <w:spacing w:after="0" w:line="240" w:lineRule="auto"/>
              <w:jc w:val="center"/>
              <w:rPr>
                <w:rFonts w:ascii="Cambria" w:eastAsia="Times New Roman" w:hAnsi="Cambria" w:cs="Calibri"/>
                <w:b/>
                <w:bCs/>
                <w:sz w:val="12"/>
                <w:szCs w:val="12"/>
                <w:lang w:eastAsia="es-CR"/>
              </w:rPr>
            </w:pPr>
            <w:r w:rsidRPr="004B6036">
              <w:rPr>
                <w:rFonts w:ascii="Cambria" w:eastAsia="Times New Roman" w:hAnsi="Cambria" w:cs="Calibri"/>
                <w:b/>
                <w:bCs/>
                <w:sz w:val="12"/>
                <w:szCs w:val="12"/>
                <w:lang w:eastAsia="es-CR"/>
              </w:rPr>
              <w:t>12</w:t>
            </w:r>
          </w:p>
        </w:tc>
        <w:tc>
          <w:tcPr>
            <w:tcW w:w="530" w:type="pct"/>
            <w:shd w:val="clear" w:color="CCCCFF" w:fill="FFFFFF"/>
            <w:vAlign w:val="center"/>
            <w:hideMark/>
          </w:tcPr>
          <w:p w14:paraId="32DE51F8"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Porcentaje de rendimiento por persona juzgadora</w:t>
            </w:r>
          </w:p>
        </w:tc>
        <w:tc>
          <w:tcPr>
            <w:tcW w:w="889" w:type="pct"/>
            <w:shd w:val="clear" w:color="CCCCFF" w:fill="FFFFFF"/>
            <w:vAlign w:val="center"/>
            <w:hideMark/>
          </w:tcPr>
          <w:p w14:paraId="15FB6C5E"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(Cantidad de sentencias dictadas / Cantidad de sentencias esperadas)</w:t>
            </w:r>
          </w:p>
        </w:tc>
        <w:tc>
          <w:tcPr>
            <w:tcW w:w="427" w:type="pct"/>
            <w:shd w:val="clear" w:color="CCCCFF" w:fill="FFFFFF"/>
            <w:vAlign w:val="center"/>
            <w:hideMark/>
          </w:tcPr>
          <w:p w14:paraId="6979080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Mensual</w:t>
            </w:r>
          </w:p>
        </w:tc>
        <w:tc>
          <w:tcPr>
            <w:tcW w:w="465" w:type="pct"/>
            <w:shd w:val="clear" w:color="CCCCFF" w:fill="FFFFFF"/>
            <w:vAlign w:val="center"/>
            <w:hideMark/>
          </w:tcPr>
          <w:p w14:paraId="633598A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Coordinadora o Coordinador Judicial</w:t>
            </w:r>
          </w:p>
        </w:tc>
        <w:tc>
          <w:tcPr>
            <w:tcW w:w="603" w:type="pct"/>
            <w:shd w:val="clear" w:color="CCCCFF" w:fill="FFFFFF"/>
            <w:vAlign w:val="center"/>
            <w:hideMark/>
          </w:tcPr>
          <w:p w14:paraId="1A2E5401" w14:textId="7546BD62"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Debe existir una métrica por cada uno de </w:t>
            </w:r>
            <w:r w:rsidR="00321DF9" w:rsidRPr="003D387C">
              <w:rPr>
                <w:rFonts w:ascii="Cambria" w:eastAsia="Times New Roman" w:hAnsi="Cambria" w:cs="Calibri"/>
                <w:sz w:val="12"/>
                <w:szCs w:val="12"/>
                <w:lang w:eastAsia="es-CR"/>
              </w:rPr>
              <w:t>los jueces</w:t>
            </w:r>
            <w:r w:rsidRPr="004B6036">
              <w:rPr>
                <w:rFonts w:ascii="Cambria" w:eastAsia="Times New Roman" w:hAnsi="Cambria" w:cs="Calibri"/>
                <w:sz w:val="12"/>
                <w:szCs w:val="12"/>
                <w:lang w:eastAsia="es-CR"/>
              </w:rPr>
              <w:t xml:space="preserve"> del despacho. </w:t>
            </w:r>
            <w:r w:rsidRPr="004B6036">
              <w:rPr>
                <w:rFonts w:ascii="Cambria" w:eastAsia="Times New Roman" w:hAnsi="Cambria" w:cs="Calibri"/>
                <w:sz w:val="12"/>
                <w:szCs w:val="12"/>
                <w:lang w:eastAsia="es-CR"/>
              </w:rPr>
              <w:br/>
              <w:t>Este dato se obtiene del libro en el que se consignen las sentencias o el Sistema de Gestión de Despacho Judicial.</w:t>
            </w:r>
          </w:p>
        </w:tc>
        <w:tc>
          <w:tcPr>
            <w:tcW w:w="178" w:type="pct"/>
            <w:shd w:val="clear" w:color="FF99CC" w:fill="FF8080"/>
            <w:vAlign w:val="center"/>
            <w:hideMark/>
          </w:tcPr>
          <w:p w14:paraId="7E595E3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4580322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95 %</w:t>
            </w:r>
          </w:p>
        </w:tc>
        <w:tc>
          <w:tcPr>
            <w:tcW w:w="213" w:type="pct"/>
            <w:shd w:val="clear" w:color="FFFFCC" w:fill="FFFF99"/>
            <w:noWrap/>
            <w:vAlign w:val="center"/>
            <w:hideMark/>
          </w:tcPr>
          <w:p w14:paraId="62100735"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95 %</w:t>
            </w:r>
          </w:p>
        </w:tc>
        <w:tc>
          <w:tcPr>
            <w:tcW w:w="208" w:type="pct"/>
            <w:shd w:val="clear" w:color="FFFFCC" w:fill="FFFF99"/>
            <w:vAlign w:val="center"/>
            <w:hideMark/>
          </w:tcPr>
          <w:p w14:paraId="1BF179B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19D60AF7"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100 %</w:t>
            </w:r>
          </w:p>
        </w:tc>
        <w:tc>
          <w:tcPr>
            <w:tcW w:w="157" w:type="pct"/>
            <w:shd w:val="clear" w:color="33CCCC" w:fill="C6E0B4"/>
            <w:vAlign w:val="center"/>
            <w:hideMark/>
          </w:tcPr>
          <w:p w14:paraId="436F57C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vAlign w:val="center"/>
            <w:hideMark/>
          </w:tcPr>
          <w:p w14:paraId="21877A6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100 %</w:t>
            </w:r>
          </w:p>
        </w:tc>
      </w:tr>
      <w:tr w:rsidR="00390FF5" w:rsidRPr="003D387C" w14:paraId="20212DEC" w14:textId="77777777" w:rsidTr="00390FF5">
        <w:trPr>
          <w:trHeight w:val="505"/>
        </w:trPr>
        <w:tc>
          <w:tcPr>
            <w:tcW w:w="507" w:type="pct"/>
            <w:vMerge/>
            <w:vAlign w:val="center"/>
            <w:hideMark/>
          </w:tcPr>
          <w:p w14:paraId="69106DC8"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365079F5"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restart"/>
            <w:shd w:val="clear" w:color="FFFFFF" w:fill="BDD7EE"/>
            <w:vAlign w:val="center"/>
            <w:hideMark/>
          </w:tcPr>
          <w:p w14:paraId="48637FD9"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Juez(a) 1</w:t>
            </w:r>
          </w:p>
        </w:tc>
        <w:tc>
          <w:tcPr>
            <w:tcW w:w="889" w:type="pct"/>
            <w:shd w:val="clear" w:color="CCCCFF" w:fill="FFFFFF"/>
            <w:vAlign w:val="center"/>
            <w:hideMark/>
          </w:tcPr>
          <w:p w14:paraId="2C2C8B7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Promedio de efectividad-total de sentencias dictadas </w:t>
            </w:r>
          </w:p>
        </w:tc>
        <w:tc>
          <w:tcPr>
            <w:tcW w:w="427" w:type="pct"/>
            <w:shd w:val="clear" w:color="CCCCFF" w:fill="FFFFFF"/>
            <w:vAlign w:val="center"/>
            <w:hideMark/>
          </w:tcPr>
          <w:p w14:paraId="43F00437"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CCCCFF" w:fill="FFFFFF"/>
            <w:vAlign w:val="center"/>
            <w:hideMark/>
          </w:tcPr>
          <w:p w14:paraId="69DE889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CCCCFF" w:fill="FFFFFF"/>
            <w:vAlign w:val="center"/>
            <w:hideMark/>
          </w:tcPr>
          <w:p w14:paraId="192B2E86"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28A4957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4D068DF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95 %</w:t>
            </w:r>
          </w:p>
        </w:tc>
        <w:tc>
          <w:tcPr>
            <w:tcW w:w="213" w:type="pct"/>
            <w:shd w:val="clear" w:color="FFFFCC" w:fill="FFFF99"/>
            <w:noWrap/>
            <w:vAlign w:val="center"/>
            <w:hideMark/>
          </w:tcPr>
          <w:p w14:paraId="0F81C648"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95 %</w:t>
            </w:r>
          </w:p>
        </w:tc>
        <w:tc>
          <w:tcPr>
            <w:tcW w:w="208" w:type="pct"/>
            <w:shd w:val="clear" w:color="FFFFCC" w:fill="FFFF99"/>
            <w:vAlign w:val="center"/>
            <w:hideMark/>
          </w:tcPr>
          <w:p w14:paraId="00A0617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23C7091D"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100 %</w:t>
            </w:r>
          </w:p>
        </w:tc>
        <w:tc>
          <w:tcPr>
            <w:tcW w:w="157" w:type="pct"/>
            <w:shd w:val="clear" w:color="33CCCC" w:fill="C6E0B4"/>
            <w:vAlign w:val="center"/>
            <w:hideMark/>
          </w:tcPr>
          <w:p w14:paraId="25B567F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vAlign w:val="center"/>
            <w:hideMark/>
          </w:tcPr>
          <w:p w14:paraId="3B6155B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100 %</w:t>
            </w:r>
          </w:p>
        </w:tc>
      </w:tr>
      <w:tr w:rsidR="00390FF5" w:rsidRPr="003D387C" w14:paraId="2A1EED17" w14:textId="77777777" w:rsidTr="00390FF5">
        <w:trPr>
          <w:trHeight w:val="265"/>
        </w:trPr>
        <w:tc>
          <w:tcPr>
            <w:tcW w:w="507" w:type="pct"/>
            <w:vMerge/>
            <w:vAlign w:val="center"/>
            <w:hideMark/>
          </w:tcPr>
          <w:p w14:paraId="33EB84F6"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6D589D1E"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7B907A3C"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889" w:type="pct"/>
            <w:shd w:val="clear" w:color="FFFFFF" w:fill="BDD7EE"/>
            <w:vAlign w:val="center"/>
            <w:hideMark/>
          </w:tcPr>
          <w:p w14:paraId="70AE5731"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Civil </w:t>
            </w:r>
          </w:p>
        </w:tc>
        <w:tc>
          <w:tcPr>
            <w:tcW w:w="427" w:type="pct"/>
            <w:shd w:val="clear" w:color="000000" w:fill="BDD7EE"/>
            <w:vAlign w:val="center"/>
            <w:hideMark/>
          </w:tcPr>
          <w:p w14:paraId="6B53D55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000000" w:fill="BDD7EE"/>
            <w:vAlign w:val="center"/>
            <w:hideMark/>
          </w:tcPr>
          <w:p w14:paraId="0A2BF25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000000" w:fill="BDD7EE"/>
            <w:vAlign w:val="center"/>
            <w:hideMark/>
          </w:tcPr>
          <w:p w14:paraId="52FC28E7"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2EB9FC1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3008AD7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95 %</w:t>
            </w:r>
          </w:p>
        </w:tc>
        <w:tc>
          <w:tcPr>
            <w:tcW w:w="213" w:type="pct"/>
            <w:shd w:val="clear" w:color="FFFFCC" w:fill="FFFF99"/>
            <w:noWrap/>
            <w:vAlign w:val="center"/>
            <w:hideMark/>
          </w:tcPr>
          <w:p w14:paraId="57F4518D"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95 %</w:t>
            </w:r>
          </w:p>
        </w:tc>
        <w:tc>
          <w:tcPr>
            <w:tcW w:w="208" w:type="pct"/>
            <w:shd w:val="clear" w:color="FFFFCC" w:fill="FFFF99"/>
            <w:vAlign w:val="center"/>
            <w:hideMark/>
          </w:tcPr>
          <w:p w14:paraId="52E9707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608BF100"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100 %</w:t>
            </w:r>
          </w:p>
        </w:tc>
        <w:tc>
          <w:tcPr>
            <w:tcW w:w="157" w:type="pct"/>
            <w:shd w:val="clear" w:color="33CCCC" w:fill="C6E0B4"/>
            <w:vAlign w:val="center"/>
            <w:hideMark/>
          </w:tcPr>
          <w:p w14:paraId="73A9653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vAlign w:val="center"/>
            <w:hideMark/>
          </w:tcPr>
          <w:p w14:paraId="449BDA9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100 %</w:t>
            </w:r>
          </w:p>
        </w:tc>
      </w:tr>
      <w:tr w:rsidR="00390FF5" w:rsidRPr="003D387C" w14:paraId="4AF6D299" w14:textId="77777777" w:rsidTr="00390FF5">
        <w:trPr>
          <w:trHeight w:val="250"/>
        </w:trPr>
        <w:tc>
          <w:tcPr>
            <w:tcW w:w="507" w:type="pct"/>
            <w:vMerge/>
            <w:vAlign w:val="center"/>
            <w:hideMark/>
          </w:tcPr>
          <w:p w14:paraId="7F7A5156"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128F431C"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1D0E4E2F"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889" w:type="pct"/>
            <w:shd w:val="clear" w:color="FFFFFF" w:fill="9BC2E6"/>
            <w:vAlign w:val="center"/>
            <w:hideMark/>
          </w:tcPr>
          <w:p w14:paraId="48DA1FB7"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Laboral </w:t>
            </w:r>
          </w:p>
        </w:tc>
        <w:tc>
          <w:tcPr>
            <w:tcW w:w="427" w:type="pct"/>
            <w:shd w:val="clear" w:color="000000" w:fill="9BC2E6"/>
            <w:vAlign w:val="center"/>
            <w:hideMark/>
          </w:tcPr>
          <w:p w14:paraId="72FF839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000000" w:fill="9BC2E6"/>
            <w:vAlign w:val="center"/>
            <w:hideMark/>
          </w:tcPr>
          <w:p w14:paraId="4F696A4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000000" w:fill="9BC2E6"/>
            <w:vAlign w:val="center"/>
            <w:hideMark/>
          </w:tcPr>
          <w:p w14:paraId="1A1F78B8"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4466EA8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3B404C6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95 %</w:t>
            </w:r>
          </w:p>
        </w:tc>
        <w:tc>
          <w:tcPr>
            <w:tcW w:w="213" w:type="pct"/>
            <w:shd w:val="clear" w:color="FFFFCC" w:fill="FFFF99"/>
            <w:noWrap/>
            <w:vAlign w:val="center"/>
            <w:hideMark/>
          </w:tcPr>
          <w:p w14:paraId="2CBF1170"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95 %</w:t>
            </w:r>
          </w:p>
        </w:tc>
        <w:tc>
          <w:tcPr>
            <w:tcW w:w="208" w:type="pct"/>
            <w:shd w:val="clear" w:color="FFFFCC" w:fill="FFFF99"/>
            <w:vAlign w:val="center"/>
            <w:hideMark/>
          </w:tcPr>
          <w:p w14:paraId="390CB44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376BEECA"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100 %</w:t>
            </w:r>
          </w:p>
        </w:tc>
        <w:tc>
          <w:tcPr>
            <w:tcW w:w="157" w:type="pct"/>
            <w:shd w:val="clear" w:color="33CCCC" w:fill="C6E0B4"/>
            <w:vAlign w:val="center"/>
            <w:hideMark/>
          </w:tcPr>
          <w:p w14:paraId="42B498A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vAlign w:val="center"/>
            <w:hideMark/>
          </w:tcPr>
          <w:p w14:paraId="2551B76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100 %</w:t>
            </w:r>
          </w:p>
        </w:tc>
      </w:tr>
      <w:tr w:rsidR="00390FF5" w:rsidRPr="003D387C" w14:paraId="3CFAD690" w14:textId="77777777" w:rsidTr="00390FF5">
        <w:trPr>
          <w:trHeight w:val="660"/>
        </w:trPr>
        <w:tc>
          <w:tcPr>
            <w:tcW w:w="507" w:type="pct"/>
            <w:vMerge/>
            <w:vAlign w:val="center"/>
            <w:hideMark/>
          </w:tcPr>
          <w:p w14:paraId="79FA170A"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0A52C436"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restart"/>
            <w:shd w:val="clear" w:color="FFFFFF" w:fill="BDD7EE"/>
            <w:vAlign w:val="center"/>
            <w:hideMark/>
          </w:tcPr>
          <w:p w14:paraId="243DFC8C"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Juez(a) 2</w:t>
            </w:r>
          </w:p>
        </w:tc>
        <w:tc>
          <w:tcPr>
            <w:tcW w:w="889" w:type="pct"/>
            <w:shd w:val="clear" w:color="CCCCFF" w:fill="FFFFFF"/>
            <w:vAlign w:val="center"/>
            <w:hideMark/>
          </w:tcPr>
          <w:p w14:paraId="790E51C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Promedio de efectividad-total de sentencias dictadas </w:t>
            </w:r>
          </w:p>
        </w:tc>
        <w:tc>
          <w:tcPr>
            <w:tcW w:w="427" w:type="pct"/>
            <w:shd w:val="clear" w:color="000000" w:fill="FFFFFF"/>
            <w:vAlign w:val="center"/>
            <w:hideMark/>
          </w:tcPr>
          <w:p w14:paraId="35647E7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000000" w:fill="FFFFFF"/>
            <w:vAlign w:val="center"/>
            <w:hideMark/>
          </w:tcPr>
          <w:p w14:paraId="6B53503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000000" w:fill="FFFFFF"/>
            <w:vAlign w:val="center"/>
            <w:hideMark/>
          </w:tcPr>
          <w:p w14:paraId="763A7E9D"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3D18457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672CFC5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95 %</w:t>
            </w:r>
          </w:p>
        </w:tc>
        <w:tc>
          <w:tcPr>
            <w:tcW w:w="213" w:type="pct"/>
            <w:shd w:val="clear" w:color="FFFFCC" w:fill="FFFF99"/>
            <w:noWrap/>
            <w:vAlign w:val="center"/>
            <w:hideMark/>
          </w:tcPr>
          <w:p w14:paraId="43DA1603"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95 %</w:t>
            </w:r>
          </w:p>
        </w:tc>
        <w:tc>
          <w:tcPr>
            <w:tcW w:w="208" w:type="pct"/>
            <w:shd w:val="clear" w:color="FFFFCC" w:fill="FFFF99"/>
            <w:vAlign w:val="center"/>
            <w:hideMark/>
          </w:tcPr>
          <w:p w14:paraId="208B3A9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1853BA54"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100 %</w:t>
            </w:r>
          </w:p>
        </w:tc>
        <w:tc>
          <w:tcPr>
            <w:tcW w:w="157" w:type="pct"/>
            <w:shd w:val="clear" w:color="33CCCC" w:fill="C6E0B4"/>
            <w:vAlign w:val="center"/>
            <w:hideMark/>
          </w:tcPr>
          <w:p w14:paraId="5F1FEB9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vAlign w:val="center"/>
            <w:hideMark/>
          </w:tcPr>
          <w:p w14:paraId="669D560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100 %</w:t>
            </w:r>
          </w:p>
        </w:tc>
      </w:tr>
      <w:tr w:rsidR="00390FF5" w:rsidRPr="003D387C" w14:paraId="03F5D890" w14:textId="77777777" w:rsidTr="00390FF5">
        <w:trPr>
          <w:trHeight w:val="265"/>
        </w:trPr>
        <w:tc>
          <w:tcPr>
            <w:tcW w:w="507" w:type="pct"/>
            <w:vMerge/>
            <w:vAlign w:val="center"/>
            <w:hideMark/>
          </w:tcPr>
          <w:p w14:paraId="7E0621BC"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4C4917D1"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2B2383C5"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889" w:type="pct"/>
            <w:shd w:val="clear" w:color="FFFFFF" w:fill="BDD7EE"/>
            <w:vAlign w:val="center"/>
            <w:hideMark/>
          </w:tcPr>
          <w:p w14:paraId="0C82E40D"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Civil </w:t>
            </w:r>
          </w:p>
        </w:tc>
        <w:tc>
          <w:tcPr>
            <w:tcW w:w="427" w:type="pct"/>
            <w:shd w:val="clear" w:color="000000" w:fill="BDD7EE"/>
            <w:vAlign w:val="center"/>
            <w:hideMark/>
          </w:tcPr>
          <w:p w14:paraId="1473852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000000" w:fill="BDD7EE"/>
            <w:vAlign w:val="center"/>
            <w:hideMark/>
          </w:tcPr>
          <w:p w14:paraId="2EC7755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000000" w:fill="BDD7EE"/>
            <w:vAlign w:val="center"/>
            <w:hideMark/>
          </w:tcPr>
          <w:p w14:paraId="34EC89F4"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7175343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38606B35"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95 %</w:t>
            </w:r>
          </w:p>
        </w:tc>
        <w:tc>
          <w:tcPr>
            <w:tcW w:w="213" w:type="pct"/>
            <w:shd w:val="clear" w:color="FFFFCC" w:fill="FFFF99"/>
            <w:noWrap/>
            <w:vAlign w:val="center"/>
            <w:hideMark/>
          </w:tcPr>
          <w:p w14:paraId="65FDB2A2"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95 %</w:t>
            </w:r>
          </w:p>
        </w:tc>
        <w:tc>
          <w:tcPr>
            <w:tcW w:w="208" w:type="pct"/>
            <w:shd w:val="clear" w:color="FFFFCC" w:fill="FFFF99"/>
            <w:vAlign w:val="center"/>
            <w:hideMark/>
          </w:tcPr>
          <w:p w14:paraId="50BADDA6"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2BD5F941"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100 %</w:t>
            </w:r>
          </w:p>
        </w:tc>
        <w:tc>
          <w:tcPr>
            <w:tcW w:w="157" w:type="pct"/>
            <w:shd w:val="clear" w:color="33CCCC" w:fill="C6E0B4"/>
            <w:vAlign w:val="center"/>
            <w:hideMark/>
          </w:tcPr>
          <w:p w14:paraId="4AC8052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vAlign w:val="center"/>
            <w:hideMark/>
          </w:tcPr>
          <w:p w14:paraId="767BBC5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100 %</w:t>
            </w:r>
          </w:p>
        </w:tc>
      </w:tr>
      <w:tr w:rsidR="00390FF5" w:rsidRPr="003D387C" w14:paraId="57A27953" w14:textId="77777777" w:rsidTr="00390FF5">
        <w:trPr>
          <w:trHeight w:val="408"/>
        </w:trPr>
        <w:tc>
          <w:tcPr>
            <w:tcW w:w="507" w:type="pct"/>
            <w:vMerge/>
            <w:vAlign w:val="center"/>
            <w:hideMark/>
          </w:tcPr>
          <w:p w14:paraId="0981B633"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50378A9C"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7DCD5278"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889" w:type="pct"/>
            <w:shd w:val="clear" w:color="FFFFFF" w:fill="9BC2E6"/>
            <w:vAlign w:val="center"/>
            <w:hideMark/>
          </w:tcPr>
          <w:p w14:paraId="48E1B097"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Laboral </w:t>
            </w:r>
          </w:p>
        </w:tc>
        <w:tc>
          <w:tcPr>
            <w:tcW w:w="427" w:type="pct"/>
            <w:shd w:val="clear" w:color="000000" w:fill="9BC2E6"/>
            <w:vAlign w:val="center"/>
            <w:hideMark/>
          </w:tcPr>
          <w:p w14:paraId="1540796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000000" w:fill="9BC2E6"/>
            <w:vAlign w:val="center"/>
            <w:hideMark/>
          </w:tcPr>
          <w:p w14:paraId="657D66F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000000" w:fill="9BC2E6"/>
            <w:vAlign w:val="center"/>
            <w:hideMark/>
          </w:tcPr>
          <w:p w14:paraId="16E4CF34"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62EDC8D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573DEC57"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95 %</w:t>
            </w:r>
          </w:p>
        </w:tc>
        <w:tc>
          <w:tcPr>
            <w:tcW w:w="213" w:type="pct"/>
            <w:shd w:val="clear" w:color="FFFFCC" w:fill="FFFF99"/>
            <w:noWrap/>
            <w:vAlign w:val="center"/>
            <w:hideMark/>
          </w:tcPr>
          <w:p w14:paraId="7DA0AD74"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95 %</w:t>
            </w:r>
          </w:p>
        </w:tc>
        <w:tc>
          <w:tcPr>
            <w:tcW w:w="208" w:type="pct"/>
            <w:shd w:val="clear" w:color="FFFFCC" w:fill="FFFF99"/>
            <w:vAlign w:val="center"/>
            <w:hideMark/>
          </w:tcPr>
          <w:p w14:paraId="182B31E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4C264103"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100 %</w:t>
            </w:r>
          </w:p>
        </w:tc>
        <w:tc>
          <w:tcPr>
            <w:tcW w:w="157" w:type="pct"/>
            <w:shd w:val="clear" w:color="33CCCC" w:fill="C6E0B4"/>
            <w:vAlign w:val="center"/>
            <w:hideMark/>
          </w:tcPr>
          <w:p w14:paraId="7298DE9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vAlign w:val="center"/>
            <w:hideMark/>
          </w:tcPr>
          <w:p w14:paraId="6DA114A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100 %</w:t>
            </w:r>
          </w:p>
        </w:tc>
      </w:tr>
      <w:tr w:rsidR="00390FF5" w:rsidRPr="003D387C" w14:paraId="2B8D4DE4" w14:textId="77777777" w:rsidTr="00390FF5">
        <w:trPr>
          <w:trHeight w:val="600"/>
        </w:trPr>
        <w:tc>
          <w:tcPr>
            <w:tcW w:w="507" w:type="pct"/>
            <w:vMerge/>
            <w:vAlign w:val="center"/>
            <w:hideMark/>
          </w:tcPr>
          <w:p w14:paraId="0F154E94"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3F744D0C"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restart"/>
            <w:shd w:val="clear" w:color="FFFFFF" w:fill="BDD7EE"/>
            <w:vAlign w:val="center"/>
            <w:hideMark/>
          </w:tcPr>
          <w:p w14:paraId="6BBC918F"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Juez(a) 3</w:t>
            </w:r>
          </w:p>
        </w:tc>
        <w:tc>
          <w:tcPr>
            <w:tcW w:w="889" w:type="pct"/>
            <w:shd w:val="clear" w:color="CCCCFF" w:fill="FFFFFF"/>
            <w:vAlign w:val="center"/>
            <w:hideMark/>
          </w:tcPr>
          <w:p w14:paraId="3C2910B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Promedio de efectividad-total de sentencias dictadas </w:t>
            </w:r>
          </w:p>
        </w:tc>
        <w:tc>
          <w:tcPr>
            <w:tcW w:w="427" w:type="pct"/>
            <w:shd w:val="clear" w:color="000000" w:fill="FFFFFF"/>
            <w:vAlign w:val="center"/>
            <w:hideMark/>
          </w:tcPr>
          <w:p w14:paraId="0E73EAD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000000" w:fill="FFFFFF"/>
            <w:vAlign w:val="center"/>
            <w:hideMark/>
          </w:tcPr>
          <w:p w14:paraId="10042AB2"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000000" w:fill="FFFFFF"/>
            <w:vAlign w:val="center"/>
            <w:hideMark/>
          </w:tcPr>
          <w:p w14:paraId="0AE6AF2E"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4EDB3A3F"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4B56681D"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95 %</w:t>
            </w:r>
          </w:p>
        </w:tc>
        <w:tc>
          <w:tcPr>
            <w:tcW w:w="213" w:type="pct"/>
            <w:shd w:val="clear" w:color="FFFFCC" w:fill="FFFF99"/>
            <w:noWrap/>
            <w:vAlign w:val="center"/>
            <w:hideMark/>
          </w:tcPr>
          <w:p w14:paraId="4CE50996"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95 %</w:t>
            </w:r>
          </w:p>
        </w:tc>
        <w:tc>
          <w:tcPr>
            <w:tcW w:w="208" w:type="pct"/>
            <w:shd w:val="clear" w:color="FFFFCC" w:fill="FFFF99"/>
            <w:vAlign w:val="center"/>
            <w:hideMark/>
          </w:tcPr>
          <w:p w14:paraId="09AD8C4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61EBFA0D"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100 %</w:t>
            </w:r>
          </w:p>
        </w:tc>
        <w:tc>
          <w:tcPr>
            <w:tcW w:w="157" w:type="pct"/>
            <w:shd w:val="clear" w:color="33CCCC" w:fill="C6E0B4"/>
            <w:vAlign w:val="center"/>
            <w:hideMark/>
          </w:tcPr>
          <w:p w14:paraId="34E4B8A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vAlign w:val="center"/>
            <w:hideMark/>
          </w:tcPr>
          <w:p w14:paraId="458C1EF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100 %</w:t>
            </w:r>
          </w:p>
        </w:tc>
      </w:tr>
      <w:tr w:rsidR="00390FF5" w:rsidRPr="003D387C" w14:paraId="33852358" w14:textId="77777777" w:rsidTr="00390FF5">
        <w:trPr>
          <w:trHeight w:val="408"/>
        </w:trPr>
        <w:tc>
          <w:tcPr>
            <w:tcW w:w="507" w:type="pct"/>
            <w:vMerge/>
            <w:vAlign w:val="center"/>
            <w:hideMark/>
          </w:tcPr>
          <w:p w14:paraId="66F1DAF9"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676A76AB"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7A5773C1"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889" w:type="pct"/>
            <w:shd w:val="clear" w:color="FFFFFF" w:fill="BDD7EE"/>
            <w:vAlign w:val="center"/>
            <w:hideMark/>
          </w:tcPr>
          <w:p w14:paraId="0800BA10"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Civil </w:t>
            </w:r>
          </w:p>
        </w:tc>
        <w:tc>
          <w:tcPr>
            <w:tcW w:w="427" w:type="pct"/>
            <w:shd w:val="clear" w:color="000000" w:fill="BDD7EE"/>
            <w:vAlign w:val="center"/>
            <w:hideMark/>
          </w:tcPr>
          <w:p w14:paraId="1EEEB089"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000000" w:fill="BDD7EE"/>
            <w:vAlign w:val="center"/>
            <w:hideMark/>
          </w:tcPr>
          <w:p w14:paraId="45F73E8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000000" w:fill="BDD7EE"/>
            <w:vAlign w:val="center"/>
            <w:hideMark/>
          </w:tcPr>
          <w:p w14:paraId="3925A053"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7384523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3653CFF1"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95 %</w:t>
            </w:r>
          </w:p>
        </w:tc>
        <w:tc>
          <w:tcPr>
            <w:tcW w:w="213" w:type="pct"/>
            <w:shd w:val="clear" w:color="FFFFCC" w:fill="FFFF99"/>
            <w:noWrap/>
            <w:vAlign w:val="center"/>
            <w:hideMark/>
          </w:tcPr>
          <w:p w14:paraId="485D2C0A"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95 %</w:t>
            </w:r>
          </w:p>
        </w:tc>
        <w:tc>
          <w:tcPr>
            <w:tcW w:w="208" w:type="pct"/>
            <w:shd w:val="clear" w:color="FFFFCC" w:fill="FFFF99"/>
            <w:vAlign w:val="center"/>
            <w:hideMark/>
          </w:tcPr>
          <w:p w14:paraId="396F4D2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7DEFC2FB"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100 %</w:t>
            </w:r>
          </w:p>
        </w:tc>
        <w:tc>
          <w:tcPr>
            <w:tcW w:w="157" w:type="pct"/>
            <w:shd w:val="clear" w:color="33CCCC" w:fill="C6E0B4"/>
            <w:vAlign w:val="center"/>
            <w:hideMark/>
          </w:tcPr>
          <w:p w14:paraId="7218140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vAlign w:val="center"/>
            <w:hideMark/>
          </w:tcPr>
          <w:p w14:paraId="20C4A89C"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100 %</w:t>
            </w:r>
          </w:p>
        </w:tc>
      </w:tr>
      <w:tr w:rsidR="00390FF5" w:rsidRPr="003D387C" w14:paraId="5111C9DB" w14:textId="77777777" w:rsidTr="00390FF5">
        <w:trPr>
          <w:trHeight w:val="408"/>
        </w:trPr>
        <w:tc>
          <w:tcPr>
            <w:tcW w:w="507" w:type="pct"/>
            <w:vMerge/>
            <w:vAlign w:val="center"/>
            <w:hideMark/>
          </w:tcPr>
          <w:p w14:paraId="15A9A310" w14:textId="77777777" w:rsidR="001A6E91" w:rsidRPr="004B6036" w:rsidRDefault="001A6E91" w:rsidP="001A6E91">
            <w:pPr>
              <w:spacing w:after="0" w:line="240" w:lineRule="auto"/>
              <w:rPr>
                <w:rFonts w:ascii="Cambria" w:eastAsia="Times New Roman" w:hAnsi="Cambria" w:cs="Calibri"/>
                <w:b/>
                <w:bCs/>
                <w:color w:val="FFFFFF"/>
                <w:sz w:val="12"/>
                <w:szCs w:val="12"/>
                <w:lang w:eastAsia="es-CR"/>
              </w:rPr>
            </w:pPr>
          </w:p>
        </w:tc>
        <w:tc>
          <w:tcPr>
            <w:tcW w:w="208" w:type="pct"/>
            <w:vMerge/>
            <w:vAlign w:val="center"/>
            <w:hideMark/>
          </w:tcPr>
          <w:p w14:paraId="27E16A37" w14:textId="77777777" w:rsidR="001A6E91" w:rsidRPr="004B6036" w:rsidRDefault="001A6E91" w:rsidP="001A6E91">
            <w:pPr>
              <w:spacing w:after="0" w:line="240" w:lineRule="auto"/>
              <w:rPr>
                <w:rFonts w:ascii="Cambria" w:eastAsia="Times New Roman" w:hAnsi="Cambria" w:cs="Calibri"/>
                <w:b/>
                <w:bCs/>
                <w:sz w:val="12"/>
                <w:szCs w:val="12"/>
                <w:lang w:eastAsia="es-CR"/>
              </w:rPr>
            </w:pPr>
          </w:p>
        </w:tc>
        <w:tc>
          <w:tcPr>
            <w:tcW w:w="530" w:type="pct"/>
            <w:vMerge/>
            <w:vAlign w:val="center"/>
            <w:hideMark/>
          </w:tcPr>
          <w:p w14:paraId="0DB48BD0" w14:textId="77777777" w:rsidR="001A6E91" w:rsidRPr="004B6036" w:rsidRDefault="001A6E91" w:rsidP="001A6E91">
            <w:pPr>
              <w:spacing w:after="0" w:line="240" w:lineRule="auto"/>
              <w:rPr>
                <w:rFonts w:ascii="Cambria" w:eastAsia="Times New Roman" w:hAnsi="Cambria" w:cs="Calibri"/>
                <w:i/>
                <w:iCs/>
                <w:sz w:val="12"/>
                <w:szCs w:val="12"/>
                <w:lang w:eastAsia="es-CR"/>
              </w:rPr>
            </w:pPr>
          </w:p>
        </w:tc>
        <w:tc>
          <w:tcPr>
            <w:tcW w:w="889" w:type="pct"/>
            <w:shd w:val="clear" w:color="FFFFFF" w:fill="9BC2E6"/>
            <w:vAlign w:val="center"/>
            <w:hideMark/>
          </w:tcPr>
          <w:p w14:paraId="62645725" w14:textId="77777777" w:rsidR="001A6E91" w:rsidRPr="004B6036" w:rsidRDefault="001A6E91" w:rsidP="001A6E91">
            <w:pPr>
              <w:spacing w:after="0" w:line="240" w:lineRule="auto"/>
              <w:jc w:val="center"/>
              <w:rPr>
                <w:rFonts w:ascii="Cambria" w:eastAsia="Times New Roman" w:hAnsi="Cambria" w:cs="Calibri"/>
                <w:i/>
                <w:iCs/>
                <w:sz w:val="12"/>
                <w:szCs w:val="12"/>
                <w:lang w:eastAsia="es-CR"/>
              </w:rPr>
            </w:pPr>
            <w:r w:rsidRPr="004B6036">
              <w:rPr>
                <w:rFonts w:ascii="Cambria" w:eastAsia="Times New Roman" w:hAnsi="Cambria" w:cs="Calibri"/>
                <w:i/>
                <w:iCs/>
                <w:sz w:val="12"/>
                <w:szCs w:val="12"/>
                <w:lang w:eastAsia="es-CR"/>
              </w:rPr>
              <w:t xml:space="preserve">Laboral </w:t>
            </w:r>
          </w:p>
        </w:tc>
        <w:tc>
          <w:tcPr>
            <w:tcW w:w="427" w:type="pct"/>
            <w:shd w:val="clear" w:color="000000" w:fill="9BC2E6"/>
            <w:vAlign w:val="center"/>
            <w:hideMark/>
          </w:tcPr>
          <w:p w14:paraId="3E700334"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465" w:type="pct"/>
            <w:shd w:val="clear" w:color="000000" w:fill="9BC2E6"/>
            <w:vAlign w:val="center"/>
            <w:hideMark/>
          </w:tcPr>
          <w:p w14:paraId="6A37B6C8"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603" w:type="pct"/>
            <w:shd w:val="clear" w:color="000000" w:fill="9BC2E6"/>
            <w:vAlign w:val="center"/>
            <w:hideMark/>
          </w:tcPr>
          <w:p w14:paraId="766C0F23" w14:textId="77777777" w:rsidR="001A6E91" w:rsidRPr="004B6036" w:rsidRDefault="001A6E91" w:rsidP="001A6E91">
            <w:pPr>
              <w:spacing w:after="0" w:line="240" w:lineRule="auto"/>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w:t>
            </w:r>
          </w:p>
        </w:tc>
        <w:tc>
          <w:tcPr>
            <w:tcW w:w="178" w:type="pct"/>
            <w:shd w:val="clear" w:color="FF99CC" w:fill="FF8080"/>
            <w:vAlign w:val="center"/>
            <w:hideMark/>
          </w:tcPr>
          <w:p w14:paraId="2A8DB4EA"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&lt;</w:t>
            </w:r>
          </w:p>
        </w:tc>
        <w:tc>
          <w:tcPr>
            <w:tcW w:w="205" w:type="pct"/>
            <w:shd w:val="clear" w:color="FF99CC" w:fill="FF8080"/>
            <w:vAlign w:val="center"/>
            <w:hideMark/>
          </w:tcPr>
          <w:p w14:paraId="196250F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95 %</w:t>
            </w:r>
          </w:p>
        </w:tc>
        <w:tc>
          <w:tcPr>
            <w:tcW w:w="213" w:type="pct"/>
            <w:shd w:val="clear" w:color="FFFFCC" w:fill="FFFF99"/>
            <w:noWrap/>
            <w:vAlign w:val="center"/>
            <w:hideMark/>
          </w:tcPr>
          <w:p w14:paraId="6BC828E1"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95 %</w:t>
            </w:r>
          </w:p>
        </w:tc>
        <w:tc>
          <w:tcPr>
            <w:tcW w:w="208" w:type="pct"/>
            <w:shd w:val="clear" w:color="FFFFCC" w:fill="FFFF99"/>
            <w:vAlign w:val="center"/>
            <w:hideMark/>
          </w:tcPr>
          <w:p w14:paraId="78D53F30"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 xml:space="preserve"> =&lt; X =&lt; </w:t>
            </w:r>
          </w:p>
        </w:tc>
        <w:tc>
          <w:tcPr>
            <w:tcW w:w="188" w:type="pct"/>
            <w:shd w:val="clear" w:color="FFFFCC" w:fill="FFFF99"/>
            <w:vAlign w:val="center"/>
            <w:hideMark/>
          </w:tcPr>
          <w:p w14:paraId="27E61398" w14:textId="77777777" w:rsidR="001A6E91" w:rsidRPr="004B6036" w:rsidRDefault="001A6E91" w:rsidP="001A6E91">
            <w:pPr>
              <w:spacing w:after="0" w:line="240" w:lineRule="auto"/>
              <w:jc w:val="center"/>
              <w:rPr>
                <w:rFonts w:ascii="Cambria" w:eastAsia="Times New Roman" w:hAnsi="Cambria" w:cs="Calibri"/>
                <w:color w:val="000000"/>
                <w:sz w:val="12"/>
                <w:szCs w:val="12"/>
                <w:lang w:eastAsia="es-CR"/>
              </w:rPr>
            </w:pPr>
            <w:r w:rsidRPr="004B6036">
              <w:rPr>
                <w:rFonts w:ascii="Cambria" w:eastAsia="Times New Roman" w:hAnsi="Cambria" w:cs="Calibri"/>
                <w:color w:val="000000"/>
                <w:sz w:val="12"/>
                <w:szCs w:val="12"/>
                <w:lang w:eastAsia="es-CR"/>
              </w:rPr>
              <w:t>100 %</w:t>
            </w:r>
          </w:p>
        </w:tc>
        <w:tc>
          <w:tcPr>
            <w:tcW w:w="157" w:type="pct"/>
            <w:shd w:val="clear" w:color="33CCCC" w:fill="C6E0B4"/>
            <w:vAlign w:val="center"/>
            <w:hideMark/>
          </w:tcPr>
          <w:p w14:paraId="408A6B23"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&gt;</w:t>
            </w:r>
          </w:p>
        </w:tc>
        <w:tc>
          <w:tcPr>
            <w:tcW w:w="222" w:type="pct"/>
            <w:shd w:val="clear" w:color="33CCCC" w:fill="C6E0B4"/>
            <w:vAlign w:val="center"/>
            <w:hideMark/>
          </w:tcPr>
          <w:p w14:paraId="193CEB0B" w14:textId="77777777" w:rsidR="001A6E91" w:rsidRPr="004B6036" w:rsidRDefault="001A6E91" w:rsidP="001A6E91">
            <w:pPr>
              <w:spacing w:after="0" w:line="240" w:lineRule="auto"/>
              <w:jc w:val="center"/>
              <w:rPr>
                <w:rFonts w:ascii="Cambria" w:eastAsia="Times New Roman" w:hAnsi="Cambria" w:cs="Calibri"/>
                <w:sz w:val="12"/>
                <w:szCs w:val="12"/>
                <w:lang w:eastAsia="es-CR"/>
              </w:rPr>
            </w:pPr>
            <w:r w:rsidRPr="004B6036">
              <w:rPr>
                <w:rFonts w:ascii="Cambria" w:eastAsia="Times New Roman" w:hAnsi="Cambria" w:cs="Calibri"/>
                <w:sz w:val="12"/>
                <w:szCs w:val="12"/>
                <w:lang w:eastAsia="es-CR"/>
              </w:rPr>
              <w:t>100 %</w:t>
            </w:r>
          </w:p>
        </w:tc>
      </w:tr>
    </w:tbl>
    <w:p w14:paraId="2A817630" w14:textId="14D8A57F" w:rsidR="006036E6" w:rsidRPr="00A1491D" w:rsidRDefault="00A1491D" w:rsidP="004B6036">
      <w:pPr>
        <w:spacing w:line="276" w:lineRule="auto"/>
        <w:rPr>
          <w:rFonts w:ascii="Book Antiqua" w:eastAsia="Book Antiqua" w:hAnsi="Book Antiqua" w:cs="Book Antiqua"/>
          <w:color w:val="000000" w:themeColor="text1"/>
          <w:lang w:val="es"/>
        </w:rPr>
      </w:pPr>
      <w:r w:rsidRPr="00A1491D">
        <w:rPr>
          <w:rFonts w:ascii="Book Antiqua" w:eastAsia="Book Antiqua" w:hAnsi="Book Antiqua" w:cs="Book Antiqua"/>
          <w:color w:val="000000" w:themeColor="text1"/>
          <w:lang w:val="es"/>
        </w:rPr>
        <w:t>Fuente: Equipo del Subproceso de Modernización Institucional.</w:t>
      </w:r>
    </w:p>
    <w:p w14:paraId="1C78D9F8" w14:textId="77777777" w:rsidR="00321DF9" w:rsidRDefault="00321DF9" w:rsidP="00B979AE">
      <w:pPr>
        <w:spacing w:line="276" w:lineRule="auto"/>
        <w:jc w:val="both"/>
        <w:rPr>
          <w:rFonts w:ascii="Book Antiqua" w:eastAsia="Book Antiqua" w:hAnsi="Book Antiqua" w:cs="Book Antiqua"/>
          <w:color w:val="000000" w:themeColor="text1"/>
          <w:lang w:val="es"/>
        </w:rPr>
      </w:pPr>
    </w:p>
    <w:p w14:paraId="6D4F156A" w14:textId="5DDF94E5" w:rsidR="005E3118" w:rsidRDefault="005E3118" w:rsidP="00B979AE">
      <w:pPr>
        <w:spacing w:line="276" w:lineRule="auto"/>
        <w:jc w:val="both"/>
        <w:rPr>
          <w:rFonts w:ascii="Book Antiqua" w:eastAsia="Book Antiqua" w:hAnsi="Book Antiqua" w:cs="Book Antiqua"/>
          <w:color w:val="000000" w:themeColor="text1"/>
          <w:lang w:val="es"/>
        </w:rPr>
      </w:pPr>
      <w:r>
        <w:rPr>
          <w:rFonts w:ascii="Book Antiqua" w:eastAsia="Book Antiqua" w:hAnsi="Book Antiqua" w:cs="Book Antiqua"/>
          <w:color w:val="000000" w:themeColor="text1"/>
          <w:lang w:val="es"/>
        </w:rPr>
        <w:t>Se aclara que el indicador de gestión “</w:t>
      </w:r>
      <w:r w:rsidRPr="007A31C0">
        <w:rPr>
          <w:rFonts w:ascii="Book Antiqua" w:eastAsia="Book Antiqua" w:hAnsi="Book Antiqua" w:cs="Book Antiqua"/>
          <w:color w:val="000000" w:themeColor="text1"/>
          <w:lang w:val="es"/>
        </w:rPr>
        <w:t xml:space="preserve">Cantidad de </w:t>
      </w:r>
      <w:r w:rsidR="00AF0E2F">
        <w:rPr>
          <w:rFonts w:ascii="Book Antiqua" w:eastAsia="Book Antiqua" w:hAnsi="Book Antiqua" w:cs="Book Antiqua"/>
          <w:color w:val="000000" w:themeColor="text1"/>
          <w:lang w:val="es"/>
        </w:rPr>
        <w:t>expedientes</w:t>
      </w:r>
      <w:r w:rsidR="00AF0E2F" w:rsidRPr="007A31C0">
        <w:rPr>
          <w:rFonts w:ascii="Book Antiqua" w:eastAsia="Book Antiqua" w:hAnsi="Book Antiqua" w:cs="Book Antiqua"/>
          <w:color w:val="000000" w:themeColor="text1"/>
          <w:lang w:val="es"/>
        </w:rPr>
        <w:t xml:space="preserve"> pasados</w:t>
      </w:r>
      <w:r w:rsidRPr="007A31C0">
        <w:rPr>
          <w:rFonts w:ascii="Book Antiqua" w:eastAsia="Book Antiqua" w:hAnsi="Book Antiqua" w:cs="Book Antiqua"/>
          <w:color w:val="000000" w:themeColor="text1"/>
          <w:lang w:val="es"/>
        </w:rPr>
        <w:t xml:space="preserve"> a firmar</w:t>
      </w:r>
      <w:r>
        <w:rPr>
          <w:rFonts w:ascii="Book Antiqua" w:eastAsia="Book Antiqua" w:hAnsi="Book Antiqua" w:cs="Book Antiqua"/>
          <w:color w:val="000000" w:themeColor="text1"/>
          <w:lang w:val="es"/>
        </w:rPr>
        <w:t xml:space="preserve">” se encuentra en análisis, en línea con lo comentado </w:t>
      </w:r>
      <w:r w:rsidR="00A1491D">
        <w:rPr>
          <w:rFonts w:ascii="Book Antiqua" w:eastAsia="Book Antiqua" w:hAnsi="Book Antiqua" w:cs="Book Antiqua"/>
          <w:color w:val="000000" w:themeColor="text1"/>
          <w:lang w:val="es"/>
        </w:rPr>
        <w:t xml:space="preserve">anteriormente </w:t>
      </w:r>
      <w:r w:rsidR="00A1491D" w:rsidRPr="007A31C0">
        <w:rPr>
          <w:rFonts w:ascii="Book Antiqua" w:eastAsia="Book Antiqua" w:hAnsi="Book Antiqua" w:cs="Book Antiqua"/>
          <w:color w:val="000000" w:themeColor="text1"/>
          <w:lang w:val="es"/>
        </w:rPr>
        <w:t>se atenderá por medio de un informe posterior</w:t>
      </w:r>
      <w:r w:rsidR="00A1491D">
        <w:rPr>
          <w:rFonts w:ascii="Book Antiqua" w:eastAsia="Book Antiqua" w:hAnsi="Book Antiqua" w:cs="Book Antiqua"/>
          <w:color w:val="000000" w:themeColor="text1"/>
          <w:lang w:val="es"/>
        </w:rPr>
        <w:t xml:space="preserve">; sin </w:t>
      </w:r>
      <w:r w:rsidR="007A31C0">
        <w:rPr>
          <w:rFonts w:ascii="Book Antiqua" w:eastAsia="Book Antiqua" w:hAnsi="Book Antiqua" w:cs="Book Antiqua"/>
          <w:color w:val="000000" w:themeColor="text1"/>
          <w:lang w:val="es"/>
        </w:rPr>
        <w:t>embargo,</w:t>
      </w:r>
      <w:r w:rsidR="00A1491D">
        <w:rPr>
          <w:rFonts w:ascii="Book Antiqua" w:eastAsia="Book Antiqua" w:hAnsi="Book Antiqua" w:cs="Book Antiqua"/>
          <w:color w:val="000000" w:themeColor="text1"/>
          <w:lang w:val="es"/>
        </w:rPr>
        <w:t xml:space="preserve"> se indica la necesidad de que se incluya la información correspondiente con la finalidad de contar con datos históricos.</w:t>
      </w:r>
    </w:p>
    <w:p w14:paraId="171D0D1E" w14:textId="56EA4329" w:rsidR="007F42EB" w:rsidRDefault="00F85D99" w:rsidP="00B979AE">
      <w:pPr>
        <w:spacing w:line="276" w:lineRule="auto"/>
        <w:jc w:val="both"/>
        <w:rPr>
          <w:rFonts w:ascii="Book Antiqua" w:eastAsia="Book Antiqua" w:hAnsi="Book Antiqua" w:cs="Book Antiqua"/>
          <w:color w:val="000000" w:themeColor="text1"/>
          <w:lang w:val="es"/>
        </w:rPr>
      </w:pPr>
      <w:r w:rsidRPr="005830D0">
        <w:rPr>
          <w:rFonts w:ascii="Book Antiqua" w:eastAsia="Book Antiqua" w:hAnsi="Book Antiqua" w:cs="Book Antiqua"/>
          <w:color w:val="000000" w:themeColor="text1"/>
          <w:lang w:val="es"/>
        </w:rPr>
        <w:t xml:space="preserve">Una vez aprobadas las matrices de </w:t>
      </w:r>
      <w:r>
        <w:rPr>
          <w:rFonts w:ascii="Book Antiqua" w:eastAsia="Book Antiqua" w:hAnsi="Book Antiqua" w:cs="Book Antiqua"/>
          <w:color w:val="000000" w:themeColor="text1"/>
          <w:lang w:val="es"/>
        </w:rPr>
        <w:t>I</w:t>
      </w:r>
      <w:r w:rsidRPr="005830D0">
        <w:rPr>
          <w:rFonts w:ascii="Book Antiqua" w:eastAsia="Book Antiqua" w:hAnsi="Book Antiqua" w:cs="Book Antiqua"/>
          <w:color w:val="000000" w:themeColor="text1"/>
          <w:lang w:val="es"/>
        </w:rPr>
        <w:t xml:space="preserve">ndicadores de </w:t>
      </w:r>
      <w:r>
        <w:rPr>
          <w:rFonts w:ascii="Book Antiqua" w:eastAsia="Book Antiqua" w:hAnsi="Book Antiqua" w:cs="Book Antiqua"/>
          <w:color w:val="000000" w:themeColor="text1"/>
          <w:lang w:val="es"/>
        </w:rPr>
        <w:t>G</w:t>
      </w:r>
      <w:r w:rsidRPr="005830D0">
        <w:rPr>
          <w:rFonts w:ascii="Book Antiqua" w:eastAsia="Book Antiqua" w:hAnsi="Book Antiqua" w:cs="Book Antiqua"/>
          <w:color w:val="000000" w:themeColor="text1"/>
          <w:lang w:val="es"/>
        </w:rPr>
        <w:t>estión por el Consejo Superior se realizará la comunicación a los despachos de la nueva matriz, donde en archivo actual de indicadores se insertará la nueva hoja, con la finalidad de no perder el historial.</w:t>
      </w:r>
    </w:p>
    <w:p w14:paraId="741F4F23" w14:textId="0CB45726" w:rsidR="00A3724E" w:rsidRDefault="004F3100" w:rsidP="00B979AE">
      <w:pPr>
        <w:spacing w:line="276" w:lineRule="auto"/>
        <w:jc w:val="both"/>
        <w:rPr>
          <w:rFonts w:ascii="Book Antiqua" w:eastAsia="Book Antiqua" w:hAnsi="Book Antiqua" w:cs="Book Antiqua"/>
          <w:color w:val="000000" w:themeColor="text1"/>
          <w:lang w:val="es"/>
        </w:rPr>
      </w:pPr>
      <w:r>
        <w:rPr>
          <w:rFonts w:ascii="Book Antiqua" w:eastAsia="Book Antiqua" w:hAnsi="Book Antiqua" w:cs="Book Antiqua"/>
          <w:color w:val="000000" w:themeColor="text1"/>
          <w:lang w:val="es"/>
        </w:rPr>
        <w:t xml:space="preserve">En los anexos del 7 al </w:t>
      </w:r>
      <w:r w:rsidR="00B84BC7">
        <w:rPr>
          <w:rFonts w:ascii="Book Antiqua" w:eastAsia="Book Antiqua" w:hAnsi="Book Antiqua" w:cs="Book Antiqua"/>
          <w:color w:val="000000" w:themeColor="text1"/>
          <w:lang w:val="es"/>
        </w:rPr>
        <w:t xml:space="preserve">13 se encuentran visibles las propuestas de matriz para cada uno </w:t>
      </w:r>
      <w:r w:rsidR="00455C1A">
        <w:rPr>
          <w:rFonts w:ascii="Book Antiqua" w:eastAsia="Book Antiqua" w:hAnsi="Book Antiqua" w:cs="Book Antiqua"/>
          <w:color w:val="000000" w:themeColor="text1"/>
          <w:lang w:val="es"/>
        </w:rPr>
        <w:t>de los</w:t>
      </w:r>
      <w:r w:rsidR="00455C1A" w:rsidRPr="00455C1A">
        <w:rPr>
          <w:rFonts w:ascii="Book Antiqua" w:eastAsia="Book Antiqua" w:hAnsi="Book Antiqua" w:cs="Book Antiqua"/>
          <w:color w:val="000000" w:themeColor="text1"/>
          <w:lang w:val="es"/>
        </w:rPr>
        <w:t xml:space="preserve"> Tribunales de Apelación Civil y Trabajo </w:t>
      </w:r>
      <w:r w:rsidR="00252B63">
        <w:rPr>
          <w:rFonts w:ascii="Book Antiqua" w:eastAsia="Book Antiqua" w:hAnsi="Book Antiqua" w:cs="Book Antiqua"/>
          <w:color w:val="000000" w:themeColor="text1"/>
          <w:lang w:val="es"/>
        </w:rPr>
        <w:t xml:space="preserve">(mixto) </w:t>
      </w:r>
      <w:r w:rsidR="00455C1A" w:rsidRPr="00455C1A">
        <w:rPr>
          <w:rFonts w:ascii="Book Antiqua" w:eastAsia="Book Antiqua" w:hAnsi="Book Antiqua" w:cs="Book Antiqua"/>
          <w:color w:val="000000" w:themeColor="text1"/>
          <w:lang w:val="es"/>
        </w:rPr>
        <w:t xml:space="preserve">del país. </w:t>
      </w:r>
    </w:p>
    <w:p w14:paraId="7D800C0A" w14:textId="77777777" w:rsidR="00945198" w:rsidRDefault="00945198" w:rsidP="00B979AE">
      <w:pPr>
        <w:spacing w:line="276" w:lineRule="auto"/>
        <w:jc w:val="both"/>
        <w:rPr>
          <w:rFonts w:ascii="Book Antiqua" w:eastAsia="Book Antiqua" w:hAnsi="Book Antiqua" w:cs="Book Antiqua"/>
          <w:color w:val="000000" w:themeColor="text1"/>
          <w:lang w:val="es"/>
        </w:rPr>
      </w:pPr>
    </w:p>
    <w:p w14:paraId="5B42CAB8" w14:textId="77777777" w:rsidR="00B979AE" w:rsidRDefault="00B979AE" w:rsidP="009C259C">
      <w:pPr>
        <w:pStyle w:val="Prrafodelista"/>
        <w:numPr>
          <w:ilvl w:val="1"/>
          <w:numId w:val="1"/>
        </w:numPr>
        <w:spacing w:line="276" w:lineRule="auto"/>
        <w:jc w:val="both"/>
        <w:rPr>
          <w:rFonts w:ascii="Book Antiqua" w:hAnsi="Book Antiqua"/>
          <w:b/>
          <w:bCs/>
        </w:rPr>
      </w:pPr>
      <w:r w:rsidRPr="00152FDE">
        <w:rPr>
          <w:rFonts w:ascii="Book Antiqua" w:hAnsi="Book Antiqua"/>
          <w:b/>
          <w:bCs/>
        </w:rPr>
        <w:t>Bitácora del Registro de días laborados por mes y cálculo de cuota de trabajo mensual esperada para cada persona del Despacho</w:t>
      </w:r>
    </w:p>
    <w:p w14:paraId="2C67C94A" w14:textId="77777777" w:rsidR="00B979AE" w:rsidRDefault="00B979AE" w:rsidP="00B979AE">
      <w:pPr>
        <w:pStyle w:val="Prrafodelista"/>
        <w:tabs>
          <w:tab w:val="left" w:pos="1488"/>
        </w:tabs>
        <w:spacing w:line="276" w:lineRule="auto"/>
        <w:ind w:left="1080"/>
        <w:jc w:val="both"/>
        <w:rPr>
          <w:rFonts w:ascii="Book Antiqua" w:hAnsi="Book Antiqua"/>
          <w:b/>
          <w:bCs/>
        </w:rPr>
      </w:pPr>
    </w:p>
    <w:p w14:paraId="24A1EA8F" w14:textId="2968FE03" w:rsidR="00B979AE" w:rsidRPr="00152FDE" w:rsidRDefault="00B979AE" w:rsidP="009C259C">
      <w:pPr>
        <w:pStyle w:val="Prrafodelista"/>
        <w:numPr>
          <w:ilvl w:val="0"/>
          <w:numId w:val="14"/>
        </w:numPr>
        <w:tabs>
          <w:tab w:val="left" w:pos="1488"/>
        </w:tabs>
        <w:spacing w:line="276" w:lineRule="auto"/>
        <w:ind w:left="284"/>
        <w:jc w:val="both"/>
        <w:rPr>
          <w:rFonts w:ascii="Book Antiqua" w:hAnsi="Book Antiqua"/>
          <w:b/>
          <w:bCs/>
        </w:rPr>
      </w:pPr>
      <w:r w:rsidRPr="00152FDE">
        <w:rPr>
          <w:rFonts w:ascii="Book Antiqua" w:hAnsi="Book Antiqua"/>
        </w:rPr>
        <w:t xml:space="preserve">Se incorpora en la matriz de indicadores la bitácora para el </w:t>
      </w:r>
      <w:r w:rsidR="00CE02AD" w:rsidRPr="00152FDE">
        <w:rPr>
          <w:rFonts w:ascii="Book Antiqua" w:hAnsi="Book Antiqua"/>
        </w:rPr>
        <w:t>cálculo</w:t>
      </w:r>
      <w:r w:rsidRPr="00152FDE">
        <w:rPr>
          <w:rFonts w:ascii="Book Antiqua" w:hAnsi="Book Antiqua"/>
        </w:rPr>
        <w:t xml:space="preserve"> de cuota conforme a los días laborados</w:t>
      </w:r>
      <w:r>
        <w:rPr>
          <w:rFonts w:ascii="Book Antiqua" w:hAnsi="Book Antiqua"/>
        </w:rPr>
        <w:t xml:space="preserve"> por persona juzgadora y técnica judicial</w:t>
      </w:r>
      <w:r w:rsidRPr="00152FDE">
        <w:rPr>
          <w:rFonts w:ascii="Book Antiqua" w:hAnsi="Book Antiqua"/>
        </w:rPr>
        <w:t>, es impor</w:t>
      </w:r>
      <w:r>
        <w:rPr>
          <w:rFonts w:ascii="Book Antiqua" w:hAnsi="Book Antiqua"/>
        </w:rPr>
        <w:t>tante</w:t>
      </w:r>
      <w:r w:rsidRPr="00152FDE">
        <w:rPr>
          <w:rFonts w:ascii="Book Antiqua" w:hAnsi="Book Antiqua"/>
        </w:rPr>
        <w:t xml:space="preserve"> indicar que esta bitácora se debe de llenar con la información establecida en la circular 239-2020 relacionada con </w:t>
      </w:r>
      <w:r w:rsidRPr="00EB031E">
        <w:rPr>
          <w:rFonts w:ascii="Book Antiqua" w:hAnsi="Book Antiqua"/>
          <w:sz w:val="24"/>
          <w:szCs w:val="24"/>
        </w:rPr>
        <w:t xml:space="preserve">la </w:t>
      </w:r>
      <w:r w:rsidRPr="00EB031E">
        <w:rPr>
          <w:rFonts w:ascii="Book Antiqua" w:hAnsi="Book Antiqua" w:cs="Times New Roman"/>
          <w:i/>
          <w:iCs/>
          <w:lang w:val="es-ES" w:eastAsia="zh-CN"/>
        </w:rPr>
        <w:t>Obligación de las oficinas en las cuales se esté implementando el Modelo de Sostenibilidad y Seguimiento de los Proyectos d</w:t>
      </w:r>
      <w:r w:rsidRPr="00EB031E">
        <w:rPr>
          <w:rFonts w:ascii="Book Antiqua" w:hAnsi="Book Antiqua"/>
          <w:i/>
          <w:iCs/>
        </w:rPr>
        <w:t>e Rediseño</w:t>
      </w:r>
      <w:r w:rsidRPr="00570C55">
        <w:rPr>
          <w:rFonts w:ascii="Book Antiqua" w:hAnsi="Book Antiqua"/>
        </w:rPr>
        <w:t xml:space="preserve">, </w:t>
      </w:r>
      <w:r w:rsidRPr="00EB031E">
        <w:rPr>
          <w:rFonts w:ascii="Book Antiqua" w:hAnsi="Book Antiqua"/>
          <w:i/>
          <w:iCs/>
        </w:rPr>
        <w:t>incluir en el Sistema de Proposición Electrónica de Nombramientos (PIN), como días no laborados solamente vacaciones, incapacidades, permisos con o sin goce de salario,</w:t>
      </w:r>
      <w:r>
        <w:rPr>
          <w:rFonts w:ascii="Book Antiqua" w:hAnsi="Book Antiqua"/>
        </w:rPr>
        <w:t xml:space="preserve"> en la que se indicó:</w:t>
      </w:r>
    </w:p>
    <w:p w14:paraId="6E736E6B" w14:textId="332BF02E" w:rsidR="00B979AE" w:rsidRPr="00152FDE" w:rsidRDefault="00B979AE" w:rsidP="00B979AE">
      <w:pPr>
        <w:shd w:val="clear" w:color="auto" w:fill="FFFFFF"/>
        <w:spacing w:after="120"/>
        <w:ind w:left="1417" w:right="567"/>
        <w:jc w:val="both"/>
        <w:rPr>
          <w:rFonts w:ascii="Book Antiqua" w:hAnsi="Book Antiqua"/>
          <w:i/>
          <w:iCs/>
        </w:rPr>
      </w:pPr>
      <w:r>
        <w:rPr>
          <w:rFonts w:ascii="Book Antiqua" w:hAnsi="Book Antiqua"/>
          <w:i/>
          <w:iCs/>
        </w:rPr>
        <w:t>“</w:t>
      </w:r>
      <w:r w:rsidRPr="00152FDE">
        <w:rPr>
          <w:rFonts w:ascii="Book Antiqua" w:hAnsi="Book Antiqua"/>
          <w:i/>
          <w:iCs/>
        </w:rPr>
        <w:t>El Consejo Superior del Poder Judicial en sesión N° 91-2020 celebrada el 17 de setiembre del 2020, artículo XLVI, conoció el informe No. 1395-PLA-MI-2020, relacionado con la revisión de la Metodología de cálculo que utiliza cada oficina para obtener el rendimiento personal. En esa oportunidad dispuso hacer de conocimiento de todos los despachos jurisdiccionales en donde se está implementando el Modelo de Sostenibilidad y Seguimiento de los Proyectos de Rediseño, y en general a todos los despachos donde se cuenta con matrices de indicadores diseñadas por la Dirección de Planificación,  que como días no laborados en las matrices solamente es posible incluir aquellos que igualmente implican un registro en el Sistema de Proposición Electrónica de Nombramientos (PIN), es decir, vacaciones, incapacidades, permisos con o sin goce de salario.  Además, se les indica que el único ajuste en las cuotas que se puede realizar es en razón de la cantidad de días hábiles de cada mes. De ahí se calcula el rendimiento considerando la cantidad de días hábiles laborados, el cual se aplicará para planes de trabajo, ya que en las matrices la cuota se ajusta automáticamente</w:t>
      </w:r>
      <w:r w:rsidR="00CE02AD" w:rsidRPr="00152FDE">
        <w:rPr>
          <w:rFonts w:ascii="Book Antiqua" w:hAnsi="Book Antiqua"/>
          <w:i/>
          <w:iCs/>
        </w:rPr>
        <w:t>.</w:t>
      </w:r>
      <w:r w:rsidR="00CE02AD">
        <w:rPr>
          <w:rFonts w:ascii="Book Antiqua" w:hAnsi="Book Antiqua"/>
          <w:i/>
          <w:iCs/>
        </w:rPr>
        <w:t>”</w:t>
      </w:r>
      <w:r w:rsidR="00E1377C">
        <w:rPr>
          <w:rFonts w:ascii="Book Antiqua" w:hAnsi="Book Antiqua"/>
          <w:i/>
          <w:iCs/>
        </w:rPr>
        <w:t>.</w:t>
      </w:r>
      <w:r w:rsidR="00CE02AD" w:rsidRPr="00CE02AD">
        <w:rPr>
          <w:rFonts w:ascii="Book Antiqua" w:hAnsi="Book Antiqua"/>
        </w:rPr>
        <w:t xml:space="preserve"> (se</w:t>
      </w:r>
      <w:r w:rsidR="00CE02AD">
        <w:rPr>
          <w:rFonts w:ascii="Book Antiqua" w:hAnsi="Book Antiqua"/>
        </w:rPr>
        <w:t xml:space="preserve"> adjunta circular en</w:t>
      </w:r>
      <w:r w:rsidR="00CE02AD" w:rsidRPr="00C10D72">
        <w:rPr>
          <w:rFonts w:ascii="Book Antiqua" w:hAnsi="Book Antiqua"/>
        </w:rPr>
        <w:t xml:space="preserve"> anexo </w:t>
      </w:r>
      <w:r w:rsidR="0049461C" w:rsidDel="008D6451">
        <w:rPr>
          <w:rFonts w:ascii="Book Antiqua" w:hAnsi="Book Antiqua"/>
        </w:rPr>
        <w:t>5</w:t>
      </w:r>
      <w:r w:rsidR="00CE02AD" w:rsidRPr="00C10D72">
        <w:rPr>
          <w:rFonts w:ascii="Book Antiqua" w:hAnsi="Book Antiqua"/>
        </w:rPr>
        <w:t>)</w:t>
      </w:r>
    </w:p>
    <w:p w14:paraId="6E59A0F4" w14:textId="77777777" w:rsidR="00B979AE" w:rsidRDefault="00B979AE" w:rsidP="00820A1A">
      <w:pPr>
        <w:spacing w:line="276" w:lineRule="auto"/>
        <w:jc w:val="both"/>
        <w:rPr>
          <w:rFonts w:ascii="Book Antiqua" w:hAnsi="Book Antiqua"/>
          <w:i/>
          <w:iCs/>
        </w:rPr>
      </w:pPr>
      <w:bookmarkStart w:id="10" w:name="_Hlk68872979"/>
    </w:p>
    <w:p w14:paraId="7F809ABC" w14:textId="0F948086" w:rsidR="00B979AE" w:rsidRDefault="00B979AE" w:rsidP="00D611CE">
      <w:pPr>
        <w:pStyle w:val="Ttulo2"/>
      </w:pPr>
      <w:r>
        <w:t xml:space="preserve">Modelo </w:t>
      </w:r>
      <w:r w:rsidR="00CE02AD">
        <w:t>de Seguimiento</w:t>
      </w:r>
      <w:r>
        <w:t xml:space="preserve"> y Sostenibilidad del proyecto</w:t>
      </w:r>
    </w:p>
    <w:p w14:paraId="03BD264C" w14:textId="77777777" w:rsidR="00B979AE" w:rsidRPr="00820A1A" w:rsidRDefault="00B979AE" w:rsidP="00B979AE">
      <w:pPr>
        <w:spacing w:line="276" w:lineRule="auto"/>
        <w:ind w:left="360"/>
        <w:jc w:val="both"/>
        <w:rPr>
          <w:rFonts w:ascii="Book Antiqua" w:hAnsi="Book Antiqua"/>
          <w:i/>
          <w:iCs/>
          <w:lang w:val="es-ES_tradnl"/>
        </w:rPr>
      </w:pPr>
    </w:p>
    <w:p w14:paraId="37367875" w14:textId="2669B8EE" w:rsidR="005C42C2" w:rsidRPr="00F36C92" w:rsidRDefault="00F31DA7" w:rsidP="00CE02AD">
      <w:pPr>
        <w:pStyle w:val="paragraph"/>
        <w:spacing w:before="0" w:beforeAutospacing="0" w:after="0" w:afterAutospacing="0" w:line="276" w:lineRule="auto"/>
        <w:jc w:val="both"/>
        <w:textAlignment w:val="baseline"/>
        <w:rPr>
          <w:rStyle w:val="normaltextrun"/>
          <w:rFonts w:ascii="Book Antiqua" w:eastAsia="Calibri" w:hAnsi="Book Antiqua" w:cs="Arial"/>
          <w:color w:val="000000"/>
          <w:sz w:val="22"/>
          <w:szCs w:val="22"/>
          <w:lang w:eastAsia="en-US"/>
        </w:rPr>
      </w:pPr>
      <w:r w:rsidRPr="00AC05DC">
        <w:rPr>
          <w:rFonts w:ascii="Book Antiqua" w:eastAsia="Calibri" w:hAnsi="Book Antiqua" w:cs="Arial"/>
          <w:color w:val="000000"/>
          <w:sz w:val="22"/>
          <w:szCs w:val="22"/>
          <w:lang w:eastAsia="en-US"/>
        </w:rPr>
        <w:t xml:space="preserve">A la fecha, la totalidad de </w:t>
      </w:r>
      <w:r w:rsidR="00820A1A" w:rsidRPr="00AC05DC">
        <w:rPr>
          <w:rFonts w:ascii="Book Antiqua" w:eastAsia="Calibri" w:hAnsi="Book Antiqua" w:cs="Arial"/>
          <w:color w:val="000000"/>
          <w:sz w:val="22"/>
          <w:szCs w:val="22"/>
          <w:lang w:eastAsia="en-US"/>
        </w:rPr>
        <w:t>Tribunales de Apelación Civil y</w:t>
      </w:r>
      <w:r w:rsidR="007C6D5E">
        <w:rPr>
          <w:rFonts w:ascii="Book Antiqua" w:eastAsia="Calibri" w:hAnsi="Book Antiqua" w:cs="Arial"/>
          <w:color w:val="000000"/>
          <w:sz w:val="22"/>
          <w:szCs w:val="22"/>
          <w:lang w:eastAsia="en-US"/>
        </w:rPr>
        <w:t xml:space="preserve"> de</w:t>
      </w:r>
      <w:r w:rsidR="00820A1A" w:rsidRPr="00AC05DC">
        <w:rPr>
          <w:rFonts w:ascii="Book Antiqua" w:eastAsia="Calibri" w:hAnsi="Book Antiqua" w:cs="Arial"/>
          <w:color w:val="000000"/>
          <w:sz w:val="22"/>
          <w:szCs w:val="22"/>
          <w:lang w:eastAsia="en-US"/>
        </w:rPr>
        <w:t xml:space="preserve"> Trabajo</w:t>
      </w:r>
      <w:r w:rsidR="007C55AA">
        <w:rPr>
          <w:rFonts w:ascii="Book Antiqua" w:eastAsia="Calibri" w:hAnsi="Book Antiqua" w:cs="Arial"/>
          <w:color w:val="000000"/>
          <w:sz w:val="22"/>
          <w:szCs w:val="22"/>
          <w:lang w:eastAsia="en-US"/>
        </w:rPr>
        <w:t xml:space="preserve"> (Mixto)</w:t>
      </w:r>
      <w:r w:rsidR="00820A1A" w:rsidRPr="00AC05DC">
        <w:rPr>
          <w:rFonts w:ascii="Book Antiqua" w:eastAsia="Calibri" w:hAnsi="Book Antiqua" w:cs="Arial"/>
          <w:color w:val="000000"/>
          <w:sz w:val="22"/>
          <w:szCs w:val="22"/>
          <w:lang w:eastAsia="en-US"/>
        </w:rPr>
        <w:t xml:space="preserve"> cuentan con el Modelo de Seguimiento y Sostenibilidad </w:t>
      </w:r>
      <w:r w:rsidR="007C6D5E">
        <w:rPr>
          <w:rFonts w:ascii="Book Antiqua" w:eastAsia="Calibri" w:hAnsi="Book Antiqua" w:cs="Arial"/>
          <w:color w:val="000000"/>
          <w:sz w:val="22"/>
          <w:szCs w:val="22"/>
          <w:lang w:eastAsia="en-US"/>
        </w:rPr>
        <w:t>de despachos rediseñados institucional</w:t>
      </w:r>
      <w:r w:rsidR="00820A1A" w:rsidRPr="00AC05DC">
        <w:rPr>
          <w:rFonts w:ascii="Book Antiqua" w:eastAsia="Calibri" w:hAnsi="Book Antiqua" w:cs="Arial"/>
          <w:color w:val="000000"/>
          <w:sz w:val="22"/>
          <w:szCs w:val="22"/>
          <w:lang w:eastAsia="en-US"/>
        </w:rPr>
        <w:t xml:space="preserve">; por </w:t>
      </w:r>
      <w:r w:rsidR="00DC5223" w:rsidRPr="00AC05DC">
        <w:rPr>
          <w:rFonts w:ascii="Book Antiqua" w:eastAsia="Calibri" w:hAnsi="Book Antiqua" w:cs="Arial"/>
          <w:color w:val="000000"/>
          <w:sz w:val="22"/>
          <w:szCs w:val="22"/>
          <w:lang w:eastAsia="en-US"/>
        </w:rPr>
        <w:t>ende,</w:t>
      </w:r>
      <w:r w:rsidR="00820A1A" w:rsidRPr="00AC05DC">
        <w:rPr>
          <w:rFonts w:ascii="Book Antiqua" w:eastAsia="Calibri" w:hAnsi="Book Antiqua" w:cs="Arial"/>
          <w:color w:val="000000"/>
          <w:sz w:val="22"/>
          <w:szCs w:val="22"/>
          <w:lang w:eastAsia="en-US"/>
        </w:rPr>
        <w:t xml:space="preserve"> cuentan con equipo de mejora conform</w:t>
      </w:r>
      <w:r w:rsidR="00DC5223" w:rsidRPr="00AC05DC">
        <w:rPr>
          <w:rFonts w:ascii="Book Antiqua" w:eastAsia="Calibri" w:hAnsi="Book Antiqua" w:cs="Arial"/>
          <w:color w:val="000000"/>
          <w:sz w:val="22"/>
          <w:szCs w:val="22"/>
          <w:lang w:eastAsia="en-US"/>
        </w:rPr>
        <w:t>ado, generan indicadores de gestión y diseñan planes remediales. Con la finalidad de informar a l</w:t>
      </w:r>
      <w:r w:rsidR="00F36C92" w:rsidRPr="00AC05DC">
        <w:rPr>
          <w:rFonts w:ascii="Book Antiqua" w:eastAsia="Calibri" w:hAnsi="Book Antiqua" w:cs="Arial"/>
          <w:color w:val="000000"/>
          <w:sz w:val="22"/>
          <w:szCs w:val="22"/>
          <w:lang w:eastAsia="en-US"/>
        </w:rPr>
        <w:t xml:space="preserve">os despachos con las actualizaciones realizadas en la metodología se presenta a continuación un resumen del tema. </w:t>
      </w:r>
    </w:p>
    <w:p w14:paraId="0D5432F1" w14:textId="7232FA6D" w:rsidR="005C42C2" w:rsidRPr="00F36C92" w:rsidRDefault="005C42C2" w:rsidP="00CE02AD">
      <w:pPr>
        <w:pStyle w:val="paragraph"/>
        <w:spacing w:before="0" w:beforeAutospacing="0" w:after="0" w:afterAutospacing="0" w:line="276" w:lineRule="auto"/>
        <w:jc w:val="both"/>
        <w:textAlignment w:val="baseline"/>
        <w:rPr>
          <w:rStyle w:val="normaltextrun"/>
          <w:rFonts w:ascii="Book Antiqua" w:hAnsi="Book Antiqua" w:cs="Segoe UI"/>
          <w:sz w:val="22"/>
          <w:szCs w:val="22"/>
          <w:lang w:val="es-ES"/>
        </w:rPr>
      </w:pPr>
    </w:p>
    <w:p w14:paraId="49BF5888" w14:textId="15DD8F62" w:rsidR="005C42C2" w:rsidRPr="00AC05DC" w:rsidRDefault="00967502" w:rsidP="005C42C2">
      <w:pPr>
        <w:spacing w:line="276" w:lineRule="auto"/>
        <w:ind w:right="49"/>
        <w:jc w:val="both"/>
        <w:rPr>
          <w:rFonts w:ascii="Book Antiqua" w:eastAsia="Calibri" w:hAnsi="Book Antiqua" w:cs="Arial"/>
          <w:color w:val="000000"/>
        </w:rPr>
      </w:pPr>
      <w:r w:rsidRPr="00AC05DC">
        <w:rPr>
          <w:rFonts w:ascii="Book Antiqua" w:eastAsia="Calibri" w:hAnsi="Book Antiqua" w:cs="Arial"/>
          <w:color w:val="000000"/>
        </w:rPr>
        <w:t>E</w:t>
      </w:r>
      <w:r w:rsidR="005C42C2" w:rsidRPr="00AC05DC">
        <w:rPr>
          <w:rFonts w:ascii="Book Antiqua" w:eastAsia="Calibri" w:hAnsi="Book Antiqua" w:cs="Arial"/>
          <w:color w:val="000000"/>
        </w:rPr>
        <w:t>l modelo de sostenibilidad vigente actualmente en los Circuitos Judiciales del país tiene como fundamento técnico el informe 1981-PLA-2016</w:t>
      </w:r>
      <w:r w:rsidR="00AB28C6" w:rsidRPr="00AC05DC">
        <w:rPr>
          <w:rFonts w:ascii="Book Antiqua" w:eastAsia="Calibri" w:hAnsi="Book Antiqua" w:cs="Arial"/>
          <w:color w:val="000000"/>
        </w:rPr>
        <w:t xml:space="preserve"> aprobado por el Consejo Superior en sesiones 107-16 del 29 de noviembre de 2016, artículo XLIX</w:t>
      </w:r>
      <w:r w:rsidR="005C42C2" w:rsidRPr="00AC05DC">
        <w:rPr>
          <w:rFonts w:ascii="Book Antiqua" w:eastAsia="Calibri" w:hAnsi="Book Antiqua" w:cs="Arial"/>
          <w:color w:val="000000"/>
        </w:rPr>
        <w:t xml:space="preserve">,  en el cual  se definen los roles y responsabilidades de cada uno de los actores contemplados en el modelo, tales como el rol de los despachos judiciales, la Administración Regional, la Dirección de Planificación y el Centro de Apoyo, Coordinación y Mejoramiento de la Función Jurisdiccional, que permitan una efectiva gestión administrativa en la ejecución del proceso de mejora continua, producto de los proyectos de rediseño, en aras de asegurar la calidad del servicio público en la administración de justicia de manera sostenible y accesible. </w:t>
      </w:r>
    </w:p>
    <w:p w14:paraId="4CB444D1" w14:textId="77777777" w:rsidR="005C42C2" w:rsidRPr="00AC05DC" w:rsidRDefault="005C42C2" w:rsidP="005C42C2">
      <w:pPr>
        <w:spacing w:line="276" w:lineRule="auto"/>
        <w:ind w:right="49"/>
        <w:jc w:val="both"/>
        <w:rPr>
          <w:rFonts w:ascii="Book Antiqua" w:eastAsia="Calibri" w:hAnsi="Book Antiqua" w:cs="Arial"/>
          <w:color w:val="000000"/>
        </w:rPr>
      </w:pPr>
    </w:p>
    <w:p w14:paraId="3AC0DB32" w14:textId="4BDF3943" w:rsidR="005C42C2" w:rsidRPr="00AC05DC" w:rsidRDefault="005C42C2" w:rsidP="005C42C2">
      <w:pPr>
        <w:spacing w:line="276" w:lineRule="auto"/>
        <w:ind w:right="49"/>
        <w:jc w:val="both"/>
        <w:rPr>
          <w:rFonts w:ascii="Book Antiqua" w:eastAsia="Calibri" w:hAnsi="Book Antiqua" w:cs="Arial"/>
          <w:color w:val="000000"/>
        </w:rPr>
      </w:pPr>
      <w:r w:rsidRPr="00AC05DC">
        <w:rPr>
          <w:rFonts w:ascii="Book Antiqua" w:eastAsia="Calibri" w:hAnsi="Book Antiqua" w:cs="Arial"/>
          <w:color w:val="000000"/>
        </w:rPr>
        <w:t xml:space="preserve">Dicho modelo fue ampliado y fortalecido mediante acuerdo de Consejo Superior Nº 16-2020 </w:t>
      </w:r>
      <w:r w:rsidRPr="00AC05DC" w:rsidDel="00AD5C58">
        <w:rPr>
          <w:rFonts w:ascii="Book Antiqua" w:eastAsia="Calibri" w:hAnsi="Book Antiqua" w:cs="Arial"/>
          <w:color w:val="000000"/>
        </w:rPr>
        <w:t>de </w:t>
      </w:r>
      <w:r w:rsidR="00AD5C58" w:rsidRPr="00AC05DC">
        <w:rPr>
          <w:rFonts w:ascii="Book Antiqua" w:eastAsia="Calibri" w:hAnsi="Book Antiqua" w:cs="Arial"/>
          <w:color w:val="000000"/>
        </w:rPr>
        <w:t>las</w:t>
      </w:r>
      <w:r w:rsidRPr="00AC05DC">
        <w:rPr>
          <w:rFonts w:ascii="Book Antiqua" w:eastAsia="Calibri" w:hAnsi="Book Antiqua" w:cs="Arial"/>
          <w:color w:val="000000"/>
        </w:rPr>
        <w:t xml:space="preserve"> nueve horas del veintisiete de febrero del dos mil veinte, </w:t>
      </w:r>
      <w:bookmarkStart w:id="11" w:name="_Toc33459923"/>
      <w:r w:rsidRPr="00AC05DC">
        <w:rPr>
          <w:rFonts w:ascii="Book Antiqua" w:eastAsia="Calibri" w:hAnsi="Book Antiqua" w:cs="Arial"/>
          <w:color w:val="000000"/>
        </w:rPr>
        <w:t>artículo LXXIII</w:t>
      </w:r>
      <w:bookmarkEnd w:id="11"/>
      <w:r w:rsidRPr="00AC05DC">
        <w:rPr>
          <w:rFonts w:ascii="Book Antiqua" w:eastAsia="Calibri" w:hAnsi="Book Antiqua" w:cs="Arial"/>
          <w:color w:val="000000"/>
        </w:rPr>
        <w:t xml:space="preserve">, en el cual se </w:t>
      </w:r>
      <w:r w:rsidRPr="00AC05DC" w:rsidDel="007D2EDE">
        <w:rPr>
          <w:rFonts w:ascii="Book Antiqua" w:eastAsia="Calibri" w:hAnsi="Book Antiqua" w:cs="Arial"/>
          <w:color w:val="000000"/>
        </w:rPr>
        <w:t>aprueba </w:t>
      </w:r>
      <w:r w:rsidR="007D2EDE" w:rsidRPr="00AC05DC">
        <w:rPr>
          <w:rFonts w:ascii="Book Antiqua" w:eastAsia="Calibri" w:hAnsi="Book Antiqua" w:cs="Arial"/>
          <w:color w:val="000000"/>
        </w:rPr>
        <w:t>oficio</w:t>
      </w:r>
      <w:r w:rsidRPr="00AC05DC">
        <w:rPr>
          <w:rFonts w:ascii="Book Antiqua" w:eastAsia="Calibri" w:hAnsi="Book Antiqua" w:cs="Arial"/>
          <w:color w:val="000000"/>
        </w:rPr>
        <w:t xml:space="preserve"> N° 217-PLA-2020, del 12 de febrero de 2020, informe relacionado con las propuestas de mejora en la aplicación del actual Modelo de Seguimiento y Sostenibilidad de proyectos en las oficinas y despachos judiciales, realizado por la Dirección de Planificación.</w:t>
      </w:r>
    </w:p>
    <w:p w14:paraId="001F9E10" w14:textId="3AF3DE6E" w:rsidR="005C42C2" w:rsidRPr="00AC05DC" w:rsidRDefault="00F36C92" w:rsidP="005C42C2">
      <w:pPr>
        <w:spacing w:line="276" w:lineRule="auto"/>
        <w:ind w:right="49"/>
        <w:jc w:val="both"/>
        <w:rPr>
          <w:rFonts w:ascii="Book Antiqua" w:eastAsia="Calibri" w:hAnsi="Book Antiqua" w:cs="Arial"/>
          <w:color w:val="000000"/>
        </w:rPr>
      </w:pPr>
      <w:r w:rsidRPr="00AC05DC">
        <w:rPr>
          <w:rFonts w:ascii="Book Antiqua" w:eastAsia="Calibri" w:hAnsi="Book Antiqua" w:cs="Arial"/>
          <w:color w:val="000000"/>
        </w:rPr>
        <w:t>El</w:t>
      </w:r>
      <w:r w:rsidR="005C42C2" w:rsidRPr="00AC05DC">
        <w:rPr>
          <w:rFonts w:ascii="Book Antiqua" w:eastAsia="Calibri" w:hAnsi="Book Antiqua" w:cs="Arial"/>
          <w:color w:val="000000"/>
        </w:rPr>
        <w:t xml:space="preserve"> informe establece un conjunto de mejoras al modelo de sostenibilidad, cuya propuesta se sintetiza en los siguientes aspectos:</w:t>
      </w:r>
    </w:p>
    <w:p w14:paraId="01191C2C" w14:textId="0DF2E330" w:rsidR="005C42C2" w:rsidRPr="00AC05DC" w:rsidRDefault="005C42C2" w:rsidP="005C42C2">
      <w:pPr>
        <w:spacing w:line="276" w:lineRule="auto"/>
        <w:ind w:right="49"/>
        <w:jc w:val="both"/>
        <w:rPr>
          <w:rFonts w:ascii="Book Antiqua" w:eastAsia="Calibri" w:hAnsi="Book Antiqua" w:cs="Arial"/>
          <w:color w:val="000000"/>
        </w:rPr>
      </w:pPr>
      <w:bookmarkStart w:id="12" w:name="_Hlk41412789"/>
      <w:r w:rsidRPr="00AC05DC">
        <w:rPr>
          <w:rFonts w:ascii="Book Antiqua" w:eastAsia="Calibri" w:hAnsi="Book Antiqua" w:cs="Arial"/>
          <w:color w:val="000000"/>
        </w:rPr>
        <w:t xml:space="preserve">1. La ampliación del modelo de sostenibilidad en dos Circuitos adicionales a los ya existentes: Primer Circuito Judicial de Alajuela, Primer Circuito Judicial de la Zona Sur. </w:t>
      </w:r>
      <w:bookmarkEnd w:id="12"/>
    </w:p>
    <w:p w14:paraId="3B5A675A" w14:textId="1AF93899" w:rsidR="005C42C2" w:rsidRPr="00AC05DC" w:rsidRDefault="005C42C2" w:rsidP="005C42C2">
      <w:pPr>
        <w:spacing w:line="276" w:lineRule="auto"/>
        <w:ind w:right="49"/>
        <w:jc w:val="both"/>
        <w:rPr>
          <w:rFonts w:ascii="Book Antiqua" w:eastAsia="Calibri" w:hAnsi="Book Antiqua" w:cs="Arial"/>
          <w:color w:val="000000"/>
        </w:rPr>
      </w:pPr>
      <w:r w:rsidRPr="00AC05DC">
        <w:rPr>
          <w:rFonts w:ascii="Book Antiqua" w:eastAsia="Calibri" w:hAnsi="Book Antiqua" w:cs="Arial"/>
          <w:color w:val="000000"/>
        </w:rPr>
        <w:t xml:space="preserve">2. La aprobación e incorporación al modelo de sostenibilidad de las plazas de profesionales 2 o Coordinadores de Unidad de las Administraciones Regionales del Primer y Segundo Circuito Judicial de San José, el Administrador de la Jurisdicción de Tránsito y la Administradora de la Plataforma Integral de Servicios de Atención a Víctimas, y dos plazas de Profesional 2 del CACMFJ a quiénes la Dirección de Planificación les brindará la guía funcional de las labores asociadas al Modelo.  Es importante aclarar </w:t>
      </w:r>
      <w:r w:rsidRPr="00AC05DC" w:rsidDel="007D2EDE">
        <w:rPr>
          <w:rFonts w:ascii="Book Antiqua" w:eastAsia="Calibri" w:hAnsi="Book Antiqua" w:cs="Arial"/>
          <w:color w:val="000000"/>
        </w:rPr>
        <w:t>que</w:t>
      </w:r>
      <w:r w:rsidR="007D2EDE" w:rsidRPr="00AC05DC">
        <w:rPr>
          <w:rFonts w:ascii="Book Antiqua" w:eastAsia="Calibri" w:hAnsi="Book Antiqua" w:cs="Arial"/>
          <w:color w:val="000000"/>
        </w:rPr>
        <w:t> estas</w:t>
      </w:r>
      <w:r w:rsidRPr="00AC05DC">
        <w:rPr>
          <w:rFonts w:ascii="Book Antiqua" w:eastAsia="Calibri" w:hAnsi="Book Antiqua" w:cs="Arial"/>
          <w:color w:val="000000"/>
        </w:rPr>
        <w:t xml:space="preserve"> plazas seguirán formando parte de las estructuras en las que han venido laborando, y no se modificará la actual línea jerárquica, siendo que lo que se producirá con su participación en el modelo es generar alineamientos metodológicos y líneas funcionales de labores que son competencia rectora de la Dirección de Planificación. </w:t>
      </w:r>
    </w:p>
    <w:p w14:paraId="0BF5937F" w14:textId="77777777" w:rsidR="005C42C2" w:rsidRPr="00AC05DC" w:rsidRDefault="005C42C2" w:rsidP="005C42C2">
      <w:pPr>
        <w:spacing w:line="276" w:lineRule="auto"/>
        <w:ind w:right="49"/>
        <w:jc w:val="both"/>
        <w:rPr>
          <w:rFonts w:ascii="Book Antiqua" w:eastAsia="Calibri" w:hAnsi="Book Antiqua" w:cs="Arial"/>
          <w:color w:val="000000"/>
        </w:rPr>
      </w:pPr>
      <w:r w:rsidRPr="00AC05DC">
        <w:rPr>
          <w:rFonts w:ascii="Book Antiqua" w:eastAsia="Calibri" w:hAnsi="Book Antiqua" w:cs="Arial"/>
          <w:color w:val="000000"/>
        </w:rPr>
        <w:t>3. La aprobación de las funciones establecidas para los profesionales 2 de la Administración del Segundo Circuito Judicial, de manera que se logre alinear la metodología de trabajo con el modelo de sostenibilidad.</w:t>
      </w:r>
    </w:p>
    <w:p w14:paraId="0C00B8FA" w14:textId="77777777" w:rsidR="005C42C2" w:rsidRPr="00AC05DC" w:rsidRDefault="005C42C2" w:rsidP="005C42C2">
      <w:pPr>
        <w:spacing w:line="276" w:lineRule="auto"/>
        <w:ind w:right="49"/>
        <w:jc w:val="both"/>
        <w:rPr>
          <w:rFonts w:ascii="Book Antiqua" w:eastAsia="Calibri" w:hAnsi="Book Antiqua" w:cs="Arial"/>
          <w:color w:val="000000"/>
        </w:rPr>
      </w:pPr>
      <w:r w:rsidRPr="00AC05DC">
        <w:rPr>
          <w:rFonts w:ascii="Book Antiqua" w:eastAsia="Calibri" w:hAnsi="Book Antiqua" w:cs="Arial"/>
          <w:color w:val="000000"/>
        </w:rPr>
        <w:t>4. La aprobación de la modificación en el modelo de sostenibilidad en cuanto a la participación y forma de trabajo que tendrá el Subproceso de Estadística, el cual asumirá entre otras cosas la validación de la calidad del dato de los indicadores de gestión con respecto al sistema SIGMA, ello en el tanto se realiza la informatización a nivel nacional de todos los indicadores.</w:t>
      </w:r>
    </w:p>
    <w:p w14:paraId="28B9E905" w14:textId="77777777" w:rsidR="005C42C2" w:rsidRPr="00AC05DC" w:rsidRDefault="005C42C2" w:rsidP="005C42C2">
      <w:pPr>
        <w:spacing w:line="276" w:lineRule="auto"/>
        <w:ind w:right="49"/>
        <w:jc w:val="both"/>
        <w:rPr>
          <w:rFonts w:ascii="Book Antiqua" w:eastAsia="Calibri" w:hAnsi="Book Antiqua" w:cs="Arial"/>
          <w:color w:val="000000"/>
        </w:rPr>
      </w:pPr>
      <w:r w:rsidRPr="00AC05DC">
        <w:rPr>
          <w:rFonts w:ascii="Book Antiqua" w:eastAsia="Calibri" w:hAnsi="Book Antiqua" w:cs="Arial"/>
          <w:color w:val="000000"/>
        </w:rPr>
        <w:t>5. Requerir al Centro de Apoyo Coordinación y Mejoramiento de la Función Jurisdiccional, que continúe con un monitoreo continuo de la gestión realizada por los despachos judiciales de acuerdo al comportamiento y tendencia de los indicadores de gestión, de manera que se cuente con una valoración global de los aspectos más relevantes del rendimiento de los Juzgados y Tribunales y que sirvan como insumo para que se elaboren propuestas de mejora en las prácticas procesales que siguen los despachos para eficientizar la gestión de las distintas jurisdicciones.</w:t>
      </w:r>
    </w:p>
    <w:p w14:paraId="02234EBD" w14:textId="6D5AD8DF" w:rsidR="005C42C2" w:rsidRDefault="005C42C2" w:rsidP="005C42C2">
      <w:pPr>
        <w:spacing w:line="276" w:lineRule="auto"/>
        <w:ind w:right="49"/>
        <w:jc w:val="both"/>
        <w:rPr>
          <w:rFonts w:ascii="Book Antiqua" w:eastAsia="Calibri" w:hAnsi="Book Antiqua" w:cs="Arial"/>
          <w:color w:val="000000"/>
        </w:rPr>
      </w:pPr>
      <w:r w:rsidRPr="00AC05DC">
        <w:rPr>
          <w:rFonts w:ascii="Book Antiqua" w:eastAsia="Calibri" w:hAnsi="Book Antiqua" w:cs="Arial"/>
          <w:color w:val="000000"/>
        </w:rPr>
        <w:t xml:space="preserve">De esta manera, el anterior modelo que se presenta en la figura N°1, pasa a ser modificado con los cambios citados, </w:t>
      </w:r>
      <w:r w:rsidR="00CB40A4" w:rsidRPr="00AC05DC">
        <w:rPr>
          <w:rFonts w:ascii="Book Antiqua" w:eastAsia="Calibri" w:hAnsi="Book Antiqua" w:cs="Arial"/>
          <w:color w:val="000000"/>
        </w:rPr>
        <w:t>de acuerdo con</w:t>
      </w:r>
      <w:r w:rsidRPr="00AC05DC">
        <w:rPr>
          <w:rFonts w:ascii="Book Antiqua" w:eastAsia="Calibri" w:hAnsi="Book Antiqua" w:cs="Arial"/>
          <w:color w:val="000000"/>
        </w:rPr>
        <w:t xml:space="preserve"> lo mostrado e</w:t>
      </w:r>
      <w:r w:rsidR="00DD57B6">
        <w:rPr>
          <w:rFonts w:ascii="Book Antiqua" w:eastAsia="Calibri" w:hAnsi="Book Antiqua" w:cs="Arial"/>
          <w:color w:val="000000"/>
        </w:rPr>
        <w:t xml:space="preserve"> </w:t>
      </w:r>
      <w:r w:rsidRPr="00AC05DC">
        <w:rPr>
          <w:rFonts w:ascii="Book Antiqua" w:eastAsia="Calibri" w:hAnsi="Book Antiqua" w:cs="Arial"/>
          <w:color w:val="000000"/>
        </w:rPr>
        <w:t>n la figura N°2.</w:t>
      </w:r>
    </w:p>
    <w:p w14:paraId="333313CF" w14:textId="77777777" w:rsidR="00945198" w:rsidRPr="00AC05DC" w:rsidRDefault="00945198" w:rsidP="005C42C2">
      <w:pPr>
        <w:spacing w:line="276" w:lineRule="auto"/>
        <w:ind w:right="49"/>
        <w:jc w:val="both"/>
        <w:rPr>
          <w:rFonts w:ascii="Book Antiqua" w:eastAsia="Calibri" w:hAnsi="Book Antiqua" w:cs="Arial"/>
          <w:color w:val="000000"/>
        </w:rPr>
      </w:pPr>
    </w:p>
    <w:p w14:paraId="7F9BC2DA" w14:textId="77777777" w:rsidR="005C42C2" w:rsidRPr="00F36C92" w:rsidRDefault="005C42C2" w:rsidP="005C42C2">
      <w:pPr>
        <w:ind w:right="51"/>
        <w:jc w:val="center"/>
        <w:rPr>
          <w:rFonts w:ascii="Book Antiqua" w:hAnsi="Book Antiqua"/>
          <w:b/>
          <w:bCs/>
          <w:color w:val="000000"/>
        </w:rPr>
      </w:pPr>
      <w:r w:rsidRPr="00F36C92">
        <w:rPr>
          <w:rFonts w:ascii="Book Antiqua" w:hAnsi="Book Antiqua"/>
          <w:b/>
          <w:bCs/>
          <w:color w:val="000000"/>
        </w:rPr>
        <w:t>Figura N°1</w:t>
      </w:r>
    </w:p>
    <w:p w14:paraId="2F5E2E98" w14:textId="7905E1D4" w:rsidR="005C42C2" w:rsidRPr="00F36C92" w:rsidRDefault="005C42C2" w:rsidP="005C42C2">
      <w:pPr>
        <w:ind w:right="51"/>
        <w:jc w:val="center"/>
        <w:rPr>
          <w:rFonts w:ascii="Book Antiqua" w:hAnsi="Book Antiqua"/>
          <w:color w:val="000000"/>
        </w:rPr>
      </w:pPr>
      <w:r w:rsidRPr="00F36C92">
        <w:rPr>
          <w:rFonts w:ascii="Book Antiqua" w:hAnsi="Book Antiqua"/>
          <w:color w:val="000000"/>
        </w:rPr>
        <w:t xml:space="preserve">Modelo inicial de Sostenibilidad de los </w:t>
      </w:r>
      <w:r w:rsidRPr="004B6036">
        <w:rPr>
          <w:rFonts w:ascii="Book Antiqua" w:hAnsi="Book Antiqua"/>
          <w:color w:val="000000"/>
        </w:rPr>
        <w:t>Proyectos de Rediseño de Procesos</w:t>
      </w:r>
      <w:r w:rsidR="005622BE" w:rsidRPr="004B6036">
        <w:rPr>
          <w:rFonts w:ascii="Book Antiqua" w:hAnsi="Book Antiqua"/>
          <w:color w:val="000000"/>
        </w:rPr>
        <w:t xml:space="preserve"> </w:t>
      </w:r>
    </w:p>
    <w:p w14:paraId="498CE61E" w14:textId="62A3D945" w:rsidR="005C42C2" w:rsidRPr="00AC05DC" w:rsidRDefault="005C42C2" w:rsidP="009923E4">
      <w:pPr>
        <w:ind w:left="851" w:right="851" w:hanging="851"/>
        <w:jc w:val="center"/>
        <w:rPr>
          <w:rFonts w:ascii="Times New Roman" w:hAnsi="Times New Roman" w:cs="Times New Roman"/>
          <w:lang w:eastAsia="es-ES"/>
        </w:rPr>
      </w:pPr>
      <w:r w:rsidRPr="00F36C92">
        <w:rPr>
          <w:rFonts w:ascii="Times New Roman" w:hAnsi="Times New Roman" w:cs="Times New Roman"/>
          <w:noProof/>
          <w:lang w:eastAsia="es-CR"/>
        </w:rPr>
        <w:drawing>
          <wp:inline distT="0" distB="0" distL="0" distR="0" wp14:anchorId="008F8B69" wp14:editId="47F6D05A">
            <wp:extent cx="5612130" cy="3069590"/>
            <wp:effectExtent l="0" t="0" r="762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5612130" cy="3069590"/>
                    </a:xfrm>
                    <a:prstGeom prst="rect">
                      <a:avLst/>
                    </a:prstGeom>
                    <a:noFill/>
                    <a:ln>
                      <a:noFill/>
                    </a:ln>
                  </pic:spPr>
                </pic:pic>
              </a:graphicData>
            </a:graphic>
          </wp:inline>
        </w:drawing>
      </w:r>
    </w:p>
    <w:p w14:paraId="608AAE23" w14:textId="77777777" w:rsidR="005C42C2" w:rsidRPr="00F36C92" w:rsidRDefault="005C42C2" w:rsidP="005C42C2">
      <w:pPr>
        <w:ind w:left="851" w:right="851" w:firstLine="709"/>
        <w:jc w:val="both"/>
        <w:rPr>
          <w:rFonts w:ascii="Book Antiqua" w:hAnsi="Book Antiqua" w:cs="Calibri"/>
          <w:color w:val="000000"/>
        </w:rPr>
      </w:pPr>
      <w:r w:rsidRPr="00F36C92">
        <w:rPr>
          <w:rFonts w:ascii="Book Antiqua" w:hAnsi="Book Antiqua"/>
          <w:color w:val="000000"/>
        </w:rPr>
        <w:t xml:space="preserve">Fuente: Dirección de Planificación </w:t>
      </w:r>
    </w:p>
    <w:p w14:paraId="0123950A" w14:textId="77777777" w:rsidR="005C42C2" w:rsidRPr="00F36C92" w:rsidRDefault="005C42C2" w:rsidP="005C42C2">
      <w:pPr>
        <w:ind w:left="851" w:right="851" w:firstLine="709"/>
        <w:jc w:val="both"/>
        <w:rPr>
          <w:rFonts w:ascii="Times New Roman" w:hAnsi="Times New Roman" w:cs="Times New Roman"/>
        </w:rPr>
      </w:pPr>
    </w:p>
    <w:p w14:paraId="4D195875" w14:textId="04157D99" w:rsidR="005C42C2" w:rsidRDefault="003E7301" w:rsidP="005C42C2">
      <w:pPr>
        <w:ind w:left="851" w:right="851" w:firstLine="709"/>
        <w:jc w:val="center"/>
        <w:rPr>
          <w:rFonts w:ascii="Book Antiqua" w:hAnsi="Book Antiqua"/>
          <w:b/>
          <w:bCs/>
          <w:color w:val="000000"/>
        </w:rPr>
      </w:pPr>
      <w:r>
        <w:rPr>
          <w:noProof/>
        </w:rPr>
        <w:drawing>
          <wp:anchor distT="0" distB="0" distL="114300" distR="114300" simplePos="0" relativeHeight="251658241" behindDoc="1" locked="0" layoutInCell="1" allowOverlap="1" wp14:anchorId="33D9B816" wp14:editId="5ECA5B59">
            <wp:simplePos x="0" y="0"/>
            <wp:positionH relativeFrom="column">
              <wp:posOffset>436245</wp:posOffset>
            </wp:positionH>
            <wp:positionV relativeFrom="paragraph">
              <wp:posOffset>252730</wp:posOffset>
            </wp:positionV>
            <wp:extent cx="5612130" cy="3340735"/>
            <wp:effectExtent l="0" t="0" r="7620" b="0"/>
            <wp:wrapTight wrapText="bothSides">
              <wp:wrapPolygon edited="0">
                <wp:start x="0" y="0"/>
                <wp:lineTo x="0" y="21432"/>
                <wp:lineTo x="21556" y="21432"/>
                <wp:lineTo x="21556" y="0"/>
                <wp:lineTo x="0" y="0"/>
              </wp:wrapPolygon>
            </wp:wrapTight>
            <wp:docPr id="2" name="Imagen 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21">
                      <a:extLst>
                        <a:ext uri="{28A0092B-C50C-407E-A947-70E740481C1C}">
                          <a14:useLocalDpi xmlns:a14="http://schemas.microsoft.com/office/drawing/2010/main" val="0"/>
                        </a:ext>
                      </a:extLst>
                    </a:blip>
                    <a:stretch>
                      <a:fillRect/>
                    </a:stretch>
                  </pic:blipFill>
                  <pic:spPr>
                    <a:xfrm>
                      <a:off x="0" y="0"/>
                      <a:ext cx="5612130" cy="3340735"/>
                    </a:xfrm>
                    <a:prstGeom prst="rect">
                      <a:avLst/>
                    </a:prstGeom>
                  </pic:spPr>
                </pic:pic>
              </a:graphicData>
            </a:graphic>
            <wp14:sizeRelH relativeFrom="margin">
              <wp14:pctWidth>0</wp14:pctWidth>
            </wp14:sizeRelH>
            <wp14:sizeRelV relativeFrom="margin">
              <wp14:pctHeight>0</wp14:pctHeight>
            </wp14:sizeRelV>
          </wp:anchor>
        </w:drawing>
      </w:r>
      <w:r w:rsidR="005C42C2" w:rsidRPr="00F36C92">
        <w:rPr>
          <w:rFonts w:ascii="Book Antiqua" w:hAnsi="Book Antiqua"/>
          <w:b/>
          <w:bCs/>
          <w:color w:val="000000"/>
        </w:rPr>
        <w:t>Figura N°2</w:t>
      </w:r>
    </w:p>
    <w:p w14:paraId="1F8761C4" w14:textId="77777777" w:rsidR="005C42C2" w:rsidRPr="00F36C92" w:rsidRDefault="005C42C2" w:rsidP="005C42C2">
      <w:pPr>
        <w:ind w:left="851" w:right="851" w:firstLine="709"/>
        <w:jc w:val="both"/>
        <w:rPr>
          <w:rFonts w:ascii="Times New Roman" w:hAnsi="Times New Roman" w:cs="Times New Roman"/>
        </w:rPr>
      </w:pPr>
      <w:r w:rsidRPr="00F36C92">
        <w:rPr>
          <w:rFonts w:ascii="Times New Roman" w:hAnsi="Times New Roman" w:cs="Times New Roman"/>
        </w:rPr>
        <w:t>Fuente:  Dirección de Planificación</w:t>
      </w:r>
    </w:p>
    <w:p w14:paraId="27BE5899" w14:textId="77777777" w:rsidR="005C42C2" w:rsidRPr="00F36C92" w:rsidRDefault="005C42C2" w:rsidP="005C42C2">
      <w:pPr>
        <w:ind w:left="851" w:right="851" w:firstLine="709"/>
        <w:jc w:val="both"/>
        <w:rPr>
          <w:rFonts w:ascii="Times New Roman" w:hAnsi="Times New Roman" w:cs="Times New Roman"/>
        </w:rPr>
      </w:pPr>
    </w:p>
    <w:p w14:paraId="26A1CB7B" w14:textId="77777777" w:rsidR="005C42C2" w:rsidRPr="00F36C92" w:rsidRDefault="005C42C2" w:rsidP="00F36C92">
      <w:pPr>
        <w:ind w:right="49"/>
        <w:jc w:val="both"/>
        <w:rPr>
          <w:rFonts w:ascii="Book Antiqua" w:hAnsi="Book Antiqua" w:cs="Calibri"/>
          <w:color w:val="000000"/>
        </w:rPr>
      </w:pPr>
      <w:r w:rsidRPr="00F36C92">
        <w:rPr>
          <w:rFonts w:ascii="Book Antiqua" w:hAnsi="Book Antiqua"/>
          <w:color w:val="000000"/>
        </w:rPr>
        <w:t>Es importante mencionar, que dentro del modelo de sostenibilidad las responsabilidades de los distintos actores se mantienen tal y como se indica a continuación:</w:t>
      </w:r>
    </w:p>
    <w:tbl>
      <w:tblPr>
        <w:tblW w:w="8970" w:type="dxa"/>
        <w:tblInd w:w="-10" w:type="dxa"/>
        <w:tblLayout w:type="fixed"/>
        <w:tblCellMar>
          <w:left w:w="0" w:type="dxa"/>
          <w:right w:w="0" w:type="dxa"/>
        </w:tblCellMar>
        <w:tblLook w:val="04A0" w:firstRow="1" w:lastRow="0" w:firstColumn="1" w:lastColumn="0" w:noHBand="0" w:noVBand="1"/>
      </w:tblPr>
      <w:tblGrid>
        <w:gridCol w:w="2127"/>
        <w:gridCol w:w="6843"/>
      </w:tblGrid>
      <w:tr w:rsidR="005C42C2" w14:paraId="7CDAA164" w14:textId="77777777" w:rsidTr="008B5F8F">
        <w:tc>
          <w:tcPr>
            <w:tcW w:w="212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231829E" w14:textId="77777777" w:rsidR="005C42C2" w:rsidRDefault="005C42C2" w:rsidP="009C259C">
            <w:pPr>
              <w:numPr>
                <w:ilvl w:val="0"/>
                <w:numId w:val="17"/>
              </w:numPr>
              <w:autoSpaceDN w:val="0"/>
              <w:spacing w:after="0" w:line="252" w:lineRule="auto"/>
              <w:ind w:left="164" w:right="89" w:hanging="142"/>
              <w:jc w:val="both"/>
              <w:rPr>
                <w:rFonts w:ascii="Book Antiqua" w:eastAsia="Times New Roman" w:hAnsi="Book Antiqua" w:cs="Calibri"/>
              </w:rPr>
            </w:pPr>
            <w:r>
              <w:rPr>
                <w:rFonts w:ascii="Book Antiqua" w:eastAsia="Times New Roman" w:hAnsi="Book Antiqua"/>
              </w:rPr>
              <w:t xml:space="preserve">Dirección de Planificación </w:t>
            </w:r>
          </w:p>
        </w:tc>
        <w:tc>
          <w:tcPr>
            <w:tcW w:w="6843"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706CCA87" w14:textId="77777777" w:rsidR="005C42C2" w:rsidRDefault="005C42C2" w:rsidP="009C259C">
            <w:pPr>
              <w:numPr>
                <w:ilvl w:val="0"/>
                <w:numId w:val="18"/>
              </w:numPr>
              <w:autoSpaceDN w:val="0"/>
              <w:spacing w:after="0" w:line="276" w:lineRule="auto"/>
              <w:ind w:right="49"/>
              <w:jc w:val="both"/>
              <w:rPr>
                <w:rFonts w:ascii="Book Antiqua" w:eastAsia="Times New Roman" w:hAnsi="Book Antiqua"/>
                <w:color w:val="000000"/>
              </w:rPr>
            </w:pPr>
            <w:r>
              <w:rPr>
                <w:rFonts w:ascii="Book Antiqua" w:eastAsia="Times New Roman" w:hAnsi="Book Antiqua"/>
                <w:color w:val="000000"/>
              </w:rPr>
              <w:t xml:space="preserve">Es el órgano rector y fiscalizador de la gestión de los proyectos de rediseño. </w:t>
            </w:r>
          </w:p>
          <w:p w14:paraId="18A282E0" w14:textId="77777777" w:rsidR="005C42C2" w:rsidRDefault="005C42C2" w:rsidP="009C259C">
            <w:pPr>
              <w:numPr>
                <w:ilvl w:val="0"/>
                <w:numId w:val="18"/>
              </w:numPr>
              <w:autoSpaceDN w:val="0"/>
              <w:spacing w:after="0" w:line="276" w:lineRule="auto"/>
              <w:ind w:right="49"/>
              <w:jc w:val="both"/>
              <w:rPr>
                <w:rFonts w:ascii="Book Antiqua" w:eastAsia="Times New Roman" w:hAnsi="Book Antiqua"/>
                <w:color w:val="000000"/>
              </w:rPr>
            </w:pPr>
            <w:r>
              <w:rPr>
                <w:rFonts w:ascii="Book Antiqua" w:eastAsia="Times New Roman" w:hAnsi="Book Antiqua"/>
                <w:color w:val="000000"/>
              </w:rPr>
              <w:t>Gestionar los proyectos de rediseño en las oficinas y despachos judiciales, exceptuando las oficinas del Ministerio Público y Defensa Pública, según las prioridades que definan la Corte Plena.</w:t>
            </w:r>
          </w:p>
          <w:p w14:paraId="2D837928" w14:textId="77777777" w:rsidR="005C42C2" w:rsidRDefault="005C42C2" w:rsidP="009C259C">
            <w:pPr>
              <w:numPr>
                <w:ilvl w:val="0"/>
                <w:numId w:val="18"/>
              </w:numPr>
              <w:autoSpaceDN w:val="0"/>
              <w:spacing w:after="0" w:line="276" w:lineRule="auto"/>
              <w:ind w:right="49"/>
              <w:jc w:val="both"/>
              <w:rPr>
                <w:rFonts w:ascii="Book Antiqua" w:eastAsia="Times New Roman" w:hAnsi="Book Antiqua"/>
                <w:color w:val="000000"/>
              </w:rPr>
            </w:pPr>
            <w:r>
              <w:rPr>
                <w:rFonts w:ascii="Book Antiqua" w:eastAsia="Times New Roman" w:hAnsi="Book Antiqua"/>
                <w:color w:val="000000"/>
              </w:rPr>
              <w:t xml:space="preserve">Fomentar desde el inicio del proyecto de rediseño: la definición, capacitación e implementación de los indicadores de gestión y proceso de mejora continua en los despachos y oficinas. </w:t>
            </w:r>
          </w:p>
          <w:p w14:paraId="27CBCCB3" w14:textId="5E354839" w:rsidR="005C42C2" w:rsidRDefault="005C42C2" w:rsidP="009C259C">
            <w:pPr>
              <w:numPr>
                <w:ilvl w:val="0"/>
                <w:numId w:val="18"/>
              </w:numPr>
              <w:autoSpaceDN w:val="0"/>
              <w:spacing w:after="0" w:line="276" w:lineRule="auto"/>
              <w:ind w:right="49"/>
              <w:jc w:val="both"/>
              <w:rPr>
                <w:rFonts w:ascii="Book Antiqua" w:eastAsia="Times New Roman" w:hAnsi="Book Antiqua"/>
                <w:b/>
                <w:bCs/>
                <w:color w:val="000000"/>
              </w:rPr>
            </w:pPr>
            <w:r>
              <w:rPr>
                <w:rFonts w:ascii="Book Antiqua" w:eastAsia="Times New Roman" w:hAnsi="Book Antiqua"/>
                <w:color w:val="000000"/>
              </w:rPr>
              <w:t xml:space="preserve">Brindar acompañamiento a los despachos y oficinas judiciales rediseñadas; por al menos seis meses con el fin de asegurar su autogestión, para lo cual deberá realizar talleres con las oficinas </w:t>
            </w:r>
            <w:r w:rsidR="00ED5C64">
              <w:rPr>
                <w:rFonts w:ascii="Book Antiqua" w:eastAsia="Times New Roman" w:hAnsi="Book Antiqua"/>
                <w:color w:val="000000"/>
              </w:rPr>
              <w:t>con la</w:t>
            </w:r>
            <w:r>
              <w:rPr>
                <w:rFonts w:ascii="Book Antiqua" w:eastAsia="Times New Roman" w:hAnsi="Book Antiqua"/>
                <w:color w:val="000000"/>
              </w:rPr>
              <w:t xml:space="preserve"> finalidad de asegurar el proceso.</w:t>
            </w:r>
          </w:p>
          <w:p w14:paraId="5078A859" w14:textId="77777777" w:rsidR="005C42C2" w:rsidRDefault="005C42C2" w:rsidP="009C259C">
            <w:pPr>
              <w:numPr>
                <w:ilvl w:val="0"/>
                <w:numId w:val="18"/>
              </w:numPr>
              <w:autoSpaceDN w:val="0"/>
              <w:spacing w:after="0" w:line="276" w:lineRule="auto"/>
              <w:ind w:right="49"/>
              <w:jc w:val="both"/>
              <w:rPr>
                <w:rFonts w:ascii="Book Antiqua" w:eastAsia="Times New Roman" w:hAnsi="Book Antiqua"/>
                <w:b/>
                <w:bCs/>
                <w:color w:val="000000"/>
              </w:rPr>
            </w:pPr>
            <w:r>
              <w:rPr>
                <w:rFonts w:ascii="Book Antiqua" w:eastAsia="Times New Roman" w:hAnsi="Book Antiqua"/>
                <w:color w:val="000000"/>
              </w:rPr>
              <w:t>Implementar las pizarras con los indicadores de gestión en un lugar visible en conjunto con las diferentes oficinas.</w:t>
            </w:r>
          </w:p>
          <w:p w14:paraId="3FDF3673" w14:textId="77777777" w:rsidR="005C42C2" w:rsidRDefault="005C42C2" w:rsidP="009C259C">
            <w:pPr>
              <w:numPr>
                <w:ilvl w:val="0"/>
                <w:numId w:val="18"/>
              </w:numPr>
              <w:autoSpaceDN w:val="0"/>
              <w:spacing w:after="0" w:line="276" w:lineRule="auto"/>
              <w:ind w:right="49"/>
              <w:jc w:val="both"/>
              <w:rPr>
                <w:rFonts w:ascii="Book Antiqua" w:eastAsia="Times New Roman" w:hAnsi="Book Antiqua"/>
                <w:b/>
                <w:bCs/>
                <w:color w:val="000000"/>
              </w:rPr>
            </w:pPr>
            <w:r>
              <w:rPr>
                <w:rFonts w:ascii="Book Antiqua" w:eastAsia="Times New Roman" w:hAnsi="Book Antiqua"/>
                <w:color w:val="000000"/>
              </w:rPr>
              <w:t xml:space="preserve">Capacitar al personal de las administraciones regionales que se designe con la finalidad de brindar la inducción respectiva en la generación de indicadores y mejora continua de los despachos judiciales. </w:t>
            </w:r>
          </w:p>
          <w:p w14:paraId="7138A4A1" w14:textId="77777777" w:rsidR="005C42C2" w:rsidRDefault="005C42C2" w:rsidP="009C259C">
            <w:pPr>
              <w:numPr>
                <w:ilvl w:val="0"/>
                <w:numId w:val="18"/>
              </w:numPr>
              <w:autoSpaceDN w:val="0"/>
              <w:spacing w:after="0" w:line="276" w:lineRule="auto"/>
              <w:ind w:right="49"/>
              <w:jc w:val="both"/>
              <w:rPr>
                <w:rFonts w:ascii="Book Antiqua" w:eastAsia="Times New Roman" w:hAnsi="Book Antiqua"/>
                <w:color w:val="000000"/>
              </w:rPr>
            </w:pPr>
            <w:r>
              <w:rPr>
                <w:rFonts w:ascii="Book Antiqua" w:eastAsia="Times New Roman" w:hAnsi="Book Antiqua"/>
                <w:color w:val="000000"/>
              </w:rPr>
              <w:t>Coordinar con la Administración Regional la revisión de los indicadores de gestión e identificar los resultados más críticos a efectos de desarrollar propuestas de mejora y planes de trabajo que permitan mejorar la gestión de los despachos y oficinas.</w:t>
            </w:r>
          </w:p>
          <w:p w14:paraId="25109FF0" w14:textId="77777777" w:rsidR="005C42C2" w:rsidRDefault="005C42C2" w:rsidP="009C259C">
            <w:pPr>
              <w:numPr>
                <w:ilvl w:val="0"/>
                <w:numId w:val="18"/>
              </w:numPr>
              <w:autoSpaceDN w:val="0"/>
              <w:spacing w:after="0" w:line="276" w:lineRule="auto"/>
              <w:ind w:right="49"/>
              <w:jc w:val="both"/>
              <w:rPr>
                <w:rFonts w:ascii="Book Antiqua" w:eastAsia="Times New Roman" w:hAnsi="Book Antiqua"/>
                <w:color w:val="000000"/>
              </w:rPr>
            </w:pPr>
            <w:r>
              <w:rPr>
                <w:rFonts w:ascii="Book Antiqua" w:eastAsia="Times New Roman" w:hAnsi="Book Antiqua"/>
                <w:color w:val="000000"/>
              </w:rPr>
              <w:t>Modificar indicadores de gestión conforme las necesidades que se detecten en el proceso de revisión</w:t>
            </w:r>
          </w:p>
          <w:p w14:paraId="09D47FF3" w14:textId="77777777" w:rsidR="005C42C2" w:rsidRDefault="005C42C2" w:rsidP="009C259C">
            <w:pPr>
              <w:numPr>
                <w:ilvl w:val="0"/>
                <w:numId w:val="18"/>
              </w:numPr>
              <w:autoSpaceDN w:val="0"/>
              <w:spacing w:after="0" w:line="276" w:lineRule="auto"/>
              <w:ind w:right="49"/>
              <w:jc w:val="both"/>
              <w:rPr>
                <w:rFonts w:ascii="Book Antiqua" w:eastAsia="Times New Roman" w:hAnsi="Book Antiqua"/>
                <w:color w:val="000000"/>
              </w:rPr>
            </w:pPr>
            <w:r>
              <w:rPr>
                <w:rFonts w:ascii="Book Antiqua" w:eastAsia="Times New Roman" w:hAnsi="Book Antiqua"/>
                <w:color w:val="000000"/>
              </w:rPr>
              <w:t>Desarrollar y ejecutar propuestas técnicas para el abordaje de los despachos judiciales como planes de trabajo y reestructuraciones.</w:t>
            </w:r>
          </w:p>
          <w:p w14:paraId="218816AD" w14:textId="725F5078" w:rsidR="005C42C2" w:rsidRDefault="005C42C2" w:rsidP="009C259C">
            <w:pPr>
              <w:numPr>
                <w:ilvl w:val="0"/>
                <w:numId w:val="18"/>
              </w:numPr>
              <w:autoSpaceDN w:val="0"/>
              <w:spacing w:after="0" w:line="276" w:lineRule="auto"/>
              <w:ind w:right="49"/>
              <w:jc w:val="both"/>
              <w:rPr>
                <w:rFonts w:ascii="Book Antiqua" w:hAnsi="Book Antiqua"/>
              </w:rPr>
            </w:pPr>
            <w:r>
              <w:rPr>
                <w:rFonts w:ascii="Book Antiqua" w:eastAsia="Times New Roman" w:hAnsi="Book Antiqua"/>
                <w:color w:val="000000"/>
              </w:rPr>
              <w:t>Presentar mensualmente ante el Consejo de Administración el detalle del avance y resultados de los planes de trabajo que se ha llevado cabo en el circuito.</w:t>
            </w:r>
          </w:p>
        </w:tc>
      </w:tr>
      <w:tr w:rsidR="005C42C2" w14:paraId="578E2002" w14:textId="77777777" w:rsidTr="008B5F8F">
        <w:tc>
          <w:tcPr>
            <w:tcW w:w="2127"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6A6E8285" w14:textId="77777777" w:rsidR="005C42C2" w:rsidRDefault="005C42C2" w:rsidP="009C259C">
            <w:pPr>
              <w:numPr>
                <w:ilvl w:val="0"/>
                <w:numId w:val="19"/>
              </w:numPr>
              <w:tabs>
                <w:tab w:val="left" w:pos="604"/>
              </w:tabs>
              <w:autoSpaceDN w:val="0"/>
              <w:spacing w:after="0" w:line="252" w:lineRule="auto"/>
              <w:ind w:left="164" w:right="89" w:hanging="142"/>
              <w:rPr>
                <w:rFonts w:ascii="Book Antiqua" w:eastAsia="Times New Roman" w:hAnsi="Book Antiqua"/>
              </w:rPr>
            </w:pPr>
            <w:r>
              <w:rPr>
                <w:rFonts w:ascii="Book Antiqua" w:eastAsia="Times New Roman" w:hAnsi="Book Antiqua"/>
              </w:rPr>
              <w:t>Despachos y oficinas judiciales rediseñados</w:t>
            </w:r>
          </w:p>
          <w:p w14:paraId="2C9218A3" w14:textId="77777777" w:rsidR="005C42C2" w:rsidRDefault="005C42C2" w:rsidP="00E6689E">
            <w:pPr>
              <w:spacing w:line="252" w:lineRule="auto"/>
              <w:ind w:left="164" w:right="89" w:hanging="142"/>
              <w:rPr>
                <w:rFonts w:ascii="Book Antiqua" w:hAnsi="Book Antiqua"/>
              </w:rPr>
            </w:pPr>
          </w:p>
        </w:tc>
        <w:tc>
          <w:tcPr>
            <w:tcW w:w="6843" w:type="dxa"/>
            <w:tcBorders>
              <w:top w:val="nil"/>
              <w:left w:val="nil"/>
              <w:bottom w:val="single" w:sz="8" w:space="0" w:color="auto"/>
              <w:right w:val="single" w:sz="8" w:space="0" w:color="auto"/>
            </w:tcBorders>
            <w:tcMar>
              <w:top w:w="0" w:type="dxa"/>
              <w:left w:w="108" w:type="dxa"/>
              <w:bottom w:w="0" w:type="dxa"/>
              <w:right w:w="108" w:type="dxa"/>
            </w:tcMar>
          </w:tcPr>
          <w:p w14:paraId="7BC7E367" w14:textId="77777777" w:rsidR="005C42C2" w:rsidRDefault="005C42C2" w:rsidP="009C259C">
            <w:pPr>
              <w:numPr>
                <w:ilvl w:val="0"/>
                <w:numId w:val="18"/>
              </w:numPr>
              <w:autoSpaceDN w:val="0"/>
              <w:spacing w:after="0" w:line="276" w:lineRule="auto"/>
              <w:ind w:right="49"/>
              <w:jc w:val="both"/>
              <w:rPr>
                <w:rFonts w:ascii="Book Antiqua" w:eastAsia="Times New Roman" w:hAnsi="Book Antiqua"/>
                <w:color w:val="000000"/>
              </w:rPr>
            </w:pPr>
            <w:r>
              <w:rPr>
                <w:rFonts w:ascii="Book Antiqua" w:eastAsia="Times New Roman" w:hAnsi="Book Antiqua"/>
                <w:color w:val="000000"/>
              </w:rPr>
              <w:t xml:space="preserve">Preparar y analizar los informes mensuales de los indicadores de gestión durante los primeros quince días de cada mes.  </w:t>
            </w:r>
          </w:p>
          <w:p w14:paraId="3E6BDD7B" w14:textId="77777777" w:rsidR="005C42C2" w:rsidRDefault="005C42C2" w:rsidP="009C259C">
            <w:pPr>
              <w:numPr>
                <w:ilvl w:val="0"/>
                <w:numId w:val="18"/>
              </w:numPr>
              <w:autoSpaceDN w:val="0"/>
              <w:spacing w:after="0" w:line="276" w:lineRule="auto"/>
              <w:ind w:right="49"/>
              <w:jc w:val="both"/>
              <w:rPr>
                <w:rFonts w:ascii="Book Antiqua" w:eastAsia="Times New Roman" w:hAnsi="Book Antiqua"/>
                <w:color w:val="000000"/>
              </w:rPr>
            </w:pPr>
            <w:r>
              <w:rPr>
                <w:rFonts w:ascii="Book Antiqua" w:eastAsia="Times New Roman" w:hAnsi="Book Antiqua"/>
                <w:color w:val="000000"/>
              </w:rPr>
              <w:t xml:space="preserve">Asegurar la aplicación del proceso de mejora continua, que involucra: el análisis de los indicadores de gestión, identificación de causas y reuniones de seguimiento con el Equipo de Mejora de Procesos y/o con el personal del despacho.  </w:t>
            </w:r>
          </w:p>
          <w:p w14:paraId="4B1C8349" w14:textId="77777777" w:rsidR="005C42C2" w:rsidRDefault="005C42C2" w:rsidP="009C259C">
            <w:pPr>
              <w:numPr>
                <w:ilvl w:val="0"/>
                <w:numId w:val="18"/>
              </w:numPr>
              <w:autoSpaceDN w:val="0"/>
              <w:spacing w:after="0" w:line="276" w:lineRule="auto"/>
              <w:ind w:right="49"/>
              <w:jc w:val="both"/>
              <w:rPr>
                <w:rFonts w:ascii="Book Antiqua" w:eastAsia="Times New Roman" w:hAnsi="Book Antiqua"/>
                <w:color w:val="000000"/>
              </w:rPr>
            </w:pPr>
            <w:r>
              <w:rPr>
                <w:rFonts w:ascii="Book Antiqua" w:eastAsia="Times New Roman" w:hAnsi="Book Antiqua"/>
                <w:color w:val="000000"/>
              </w:rPr>
              <w:t xml:space="preserve">Definir planes remediales, según los resultados del análisis de los indicadores. </w:t>
            </w:r>
          </w:p>
          <w:p w14:paraId="1FE56BED" w14:textId="77777777" w:rsidR="005C42C2" w:rsidRDefault="005C42C2" w:rsidP="009C259C">
            <w:pPr>
              <w:numPr>
                <w:ilvl w:val="0"/>
                <w:numId w:val="18"/>
              </w:numPr>
              <w:autoSpaceDN w:val="0"/>
              <w:spacing w:after="0" w:line="276" w:lineRule="auto"/>
              <w:ind w:right="49"/>
              <w:jc w:val="both"/>
              <w:rPr>
                <w:rFonts w:ascii="Book Antiqua" w:eastAsia="Times New Roman" w:hAnsi="Book Antiqua"/>
                <w:color w:val="000000"/>
              </w:rPr>
            </w:pPr>
            <w:r>
              <w:rPr>
                <w:rFonts w:ascii="Book Antiqua" w:eastAsia="Times New Roman" w:hAnsi="Book Antiqua"/>
                <w:color w:val="000000"/>
              </w:rPr>
              <w:t xml:space="preserve">Implementar, coordinar y brindar seguimiento a los planes remediales definidos. </w:t>
            </w:r>
          </w:p>
          <w:p w14:paraId="3F6A25DC" w14:textId="77777777" w:rsidR="005C42C2" w:rsidRDefault="005C42C2" w:rsidP="009C259C">
            <w:pPr>
              <w:numPr>
                <w:ilvl w:val="0"/>
                <w:numId w:val="18"/>
              </w:numPr>
              <w:autoSpaceDN w:val="0"/>
              <w:spacing w:after="0" w:line="276" w:lineRule="auto"/>
              <w:ind w:right="49"/>
              <w:jc w:val="both"/>
              <w:rPr>
                <w:rFonts w:ascii="Book Antiqua" w:eastAsia="Times New Roman" w:hAnsi="Book Antiqua"/>
                <w:color w:val="000000"/>
              </w:rPr>
            </w:pPr>
            <w:r>
              <w:rPr>
                <w:rFonts w:ascii="Book Antiqua" w:eastAsia="Times New Roman" w:hAnsi="Book Antiqua"/>
              </w:rPr>
              <w:t>Considerar la incorporación dentro del proceso de mejora de la oficina o despacho judicial, las recomendaciones emitidas por la Contraloría de Servicios.</w:t>
            </w:r>
          </w:p>
          <w:p w14:paraId="663B3CB1" w14:textId="77777777" w:rsidR="005C42C2" w:rsidRPr="004B6036" w:rsidRDefault="005C42C2" w:rsidP="009C259C">
            <w:pPr>
              <w:numPr>
                <w:ilvl w:val="0"/>
                <w:numId w:val="18"/>
              </w:numPr>
              <w:autoSpaceDN w:val="0"/>
              <w:spacing w:after="0" w:line="276" w:lineRule="auto"/>
              <w:ind w:right="49"/>
              <w:jc w:val="both"/>
              <w:rPr>
                <w:rFonts w:ascii="Book Antiqua" w:eastAsia="Times New Roman" w:hAnsi="Book Antiqua"/>
                <w:color w:val="000000"/>
              </w:rPr>
            </w:pPr>
            <w:r w:rsidRPr="004B6036">
              <w:rPr>
                <w:rFonts w:ascii="Book Antiqua" w:eastAsia="Times New Roman" w:hAnsi="Book Antiqua"/>
                <w:color w:val="000000"/>
              </w:rPr>
              <w:t xml:space="preserve">Remitir las actas de reunión, los indicadores de gestión, y </w:t>
            </w:r>
            <w:r w:rsidRPr="004B6036">
              <w:rPr>
                <w:rFonts w:ascii="Book Antiqua" w:eastAsia="Times New Roman" w:hAnsi="Book Antiqua"/>
              </w:rPr>
              <w:t xml:space="preserve">planes remediales a la Administración Regional correspondiente durante la tercera semana de cada mes. </w:t>
            </w:r>
          </w:p>
          <w:p w14:paraId="09942EFE" w14:textId="77777777" w:rsidR="005C42C2" w:rsidRDefault="005C42C2" w:rsidP="009C259C">
            <w:pPr>
              <w:numPr>
                <w:ilvl w:val="0"/>
                <w:numId w:val="18"/>
              </w:numPr>
              <w:autoSpaceDN w:val="0"/>
              <w:spacing w:after="0" w:line="276" w:lineRule="auto"/>
              <w:ind w:right="49"/>
              <w:jc w:val="both"/>
              <w:rPr>
                <w:rFonts w:ascii="Book Antiqua" w:eastAsia="Times New Roman" w:hAnsi="Book Antiqua"/>
                <w:color w:val="000000"/>
              </w:rPr>
            </w:pPr>
            <w:r w:rsidRPr="004B6036">
              <w:rPr>
                <w:rFonts w:ascii="Book Antiqua" w:eastAsia="Times New Roman" w:hAnsi="Book Antiqua"/>
                <w:color w:val="000000"/>
              </w:rPr>
              <w:t>Actualizar las pizarras implementadas con los indicadores de gestión de manera mensual y asegurar que se encuentren</w:t>
            </w:r>
            <w:r>
              <w:rPr>
                <w:rFonts w:ascii="Book Antiqua" w:eastAsia="Times New Roman" w:hAnsi="Book Antiqua"/>
                <w:color w:val="000000"/>
              </w:rPr>
              <w:t xml:space="preserve"> en un lugar visible.</w:t>
            </w:r>
          </w:p>
          <w:p w14:paraId="411180FC" w14:textId="4EAA40B0" w:rsidR="005C42C2" w:rsidRDefault="005C42C2" w:rsidP="009C259C">
            <w:pPr>
              <w:numPr>
                <w:ilvl w:val="0"/>
                <w:numId w:val="18"/>
              </w:numPr>
              <w:autoSpaceDN w:val="0"/>
              <w:spacing w:after="0" w:line="276" w:lineRule="auto"/>
              <w:ind w:right="49"/>
              <w:jc w:val="both"/>
              <w:rPr>
                <w:rFonts w:ascii="Book Antiqua" w:hAnsi="Book Antiqua"/>
              </w:rPr>
            </w:pPr>
            <w:r>
              <w:rPr>
                <w:rFonts w:ascii="Book Antiqua" w:eastAsia="Times New Roman" w:hAnsi="Book Antiqua"/>
                <w:color w:val="000000"/>
              </w:rPr>
              <w:t xml:space="preserve">Los resultados obtenidos producto del análisis de los indicadores de gestión, así como lo definido en los planes remediales; podrían ser utilizados como insumos para la formulación del PAO y SEVRI. </w:t>
            </w:r>
          </w:p>
        </w:tc>
      </w:tr>
      <w:tr w:rsidR="005C42C2" w14:paraId="19587D76" w14:textId="77777777" w:rsidTr="008B5F8F">
        <w:tc>
          <w:tcPr>
            <w:tcW w:w="212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26ECC1D" w14:textId="77777777" w:rsidR="005C42C2" w:rsidRDefault="005C42C2" w:rsidP="009C259C">
            <w:pPr>
              <w:numPr>
                <w:ilvl w:val="0"/>
                <w:numId w:val="19"/>
              </w:numPr>
              <w:tabs>
                <w:tab w:val="left" w:pos="179"/>
                <w:tab w:val="left" w:pos="1596"/>
              </w:tabs>
              <w:autoSpaceDN w:val="0"/>
              <w:spacing w:after="0" w:line="252" w:lineRule="auto"/>
              <w:ind w:left="-105" w:right="89" w:firstLine="0"/>
              <w:rPr>
                <w:rFonts w:ascii="Book Antiqua" w:eastAsia="Times New Roman" w:hAnsi="Book Antiqua"/>
              </w:rPr>
            </w:pPr>
            <w:r>
              <w:rPr>
                <w:rFonts w:ascii="Book Antiqua" w:eastAsia="Times New Roman" w:hAnsi="Book Antiqua"/>
              </w:rPr>
              <w:t>Administración Regional</w:t>
            </w:r>
          </w:p>
        </w:tc>
        <w:tc>
          <w:tcPr>
            <w:tcW w:w="6843" w:type="dxa"/>
            <w:tcBorders>
              <w:top w:val="nil"/>
              <w:left w:val="nil"/>
              <w:bottom w:val="single" w:sz="8" w:space="0" w:color="auto"/>
              <w:right w:val="single" w:sz="8" w:space="0" w:color="auto"/>
            </w:tcBorders>
            <w:tcMar>
              <w:top w:w="0" w:type="dxa"/>
              <w:left w:w="108" w:type="dxa"/>
              <w:bottom w:w="0" w:type="dxa"/>
              <w:right w:w="108" w:type="dxa"/>
            </w:tcMar>
          </w:tcPr>
          <w:p w14:paraId="6F9930C6" w14:textId="77777777" w:rsidR="005C42C2" w:rsidRDefault="005C42C2" w:rsidP="009C259C">
            <w:pPr>
              <w:numPr>
                <w:ilvl w:val="0"/>
                <w:numId w:val="18"/>
              </w:numPr>
              <w:autoSpaceDN w:val="0"/>
              <w:spacing w:after="0" w:line="276" w:lineRule="auto"/>
              <w:ind w:right="49"/>
              <w:jc w:val="both"/>
              <w:rPr>
                <w:rFonts w:ascii="Book Antiqua" w:eastAsia="Times New Roman" w:hAnsi="Book Antiqua"/>
                <w:color w:val="000000"/>
              </w:rPr>
            </w:pPr>
            <w:r>
              <w:rPr>
                <w:rFonts w:ascii="Book Antiqua" w:eastAsia="Times New Roman" w:hAnsi="Book Antiqua"/>
                <w:color w:val="000000"/>
              </w:rPr>
              <w:t>Asegurar y controlar que los despachos y oficinas judiciales remitan las actas de reunión adjuntando los indicadores de gestión y planes remediales mensualmente.</w:t>
            </w:r>
          </w:p>
          <w:p w14:paraId="62F11DA2" w14:textId="77777777" w:rsidR="005C42C2" w:rsidRDefault="005C42C2" w:rsidP="009C259C">
            <w:pPr>
              <w:numPr>
                <w:ilvl w:val="0"/>
                <w:numId w:val="18"/>
              </w:numPr>
              <w:autoSpaceDN w:val="0"/>
              <w:spacing w:after="0" w:line="276" w:lineRule="auto"/>
              <w:ind w:right="49"/>
              <w:jc w:val="both"/>
              <w:rPr>
                <w:rFonts w:ascii="Book Antiqua" w:eastAsia="Times New Roman" w:hAnsi="Book Antiqua"/>
                <w:color w:val="000000"/>
              </w:rPr>
            </w:pPr>
            <w:r>
              <w:rPr>
                <w:rFonts w:ascii="Book Antiqua" w:eastAsia="Times New Roman" w:hAnsi="Book Antiqua"/>
                <w:color w:val="000000"/>
              </w:rPr>
              <w:t xml:space="preserve">Recopilar y almacenar los indicadores de gestión y planes remediales remitidos por los despachos y oficinas judiciales. </w:t>
            </w:r>
          </w:p>
          <w:p w14:paraId="570AAA70" w14:textId="77777777" w:rsidR="005C42C2" w:rsidRDefault="005C42C2" w:rsidP="009C259C">
            <w:pPr>
              <w:numPr>
                <w:ilvl w:val="0"/>
                <w:numId w:val="18"/>
              </w:numPr>
              <w:autoSpaceDN w:val="0"/>
              <w:spacing w:after="0" w:line="276" w:lineRule="auto"/>
              <w:ind w:right="49"/>
              <w:jc w:val="both"/>
              <w:rPr>
                <w:rFonts w:ascii="Book Antiqua" w:eastAsia="Times New Roman" w:hAnsi="Book Antiqua"/>
                <w:color w:val="000000"/>
              </w:rPr>
            </w:pPr>
            <w:r>
              <w:rPr>
                <w:rFonts w:ascii="Book Antiqua" w:eastAsia="Times New Roman" w:hAnsi="Book Antiqua"/>
                <w:color w:val="000000"/>
              </w:rPr>
              <w:t xml:space="preserve">Identificar los despachos u oficinas judiciales más críticos en cuanto al cumplimiento de los indicadores de gestión y colaborar en la formulación de los planes remediales. </w:t>
            </w:r>
          </w:p>
          <w:p w14:paraId="4F397BAE" w14:textId="77777777" w:rsidR="005C42C2" w:rsidRDefault="005C42C2" w:rsidP="009C259C">
            <w:pPr>
              <w:numPr>
                <w:ilvl w:val="0"/>
                <w:numId w:val="18"/>
              </w:numPr>
              <w:autoSpaceDN w:val="0"/>
              <w:spacing w:after="0" w:line="276" w:lineRule="auto"/>
              <w:ind w:right="49"/>
              <w:jc w:val="both"/>
              <w:rPr>
                <w:rFonts w:ascii="Book Antiqua" w:eastAsia="Times New Roman" w:hAnsi="Book Antiqua"/>
                <w:color w:val="000000"/>
              </w:rPr>
            </w:pPr>
            <w:r>
              <w:rPr>
                <w:rFonts w:ascii="Book Antiqua" w:eastAsia="Times New Roman" w:hAnsi="Book Antiqua"/>
                <w:color w:val="000000"/>
              </w:rPr>
              <w:t xml:space="preserve">Dar seguimiento continuo en cuanto a la mejora de los indicadores de gestión y ejecución de los planes remediales de los despachos y oficinas judiciales más críticos, hasta su estabilización o cumplimiento de las metas establecidas. </w:t>
            </w:r>
          </w:p>
          <w:p w14:paraId="6B4A98C0" w14:textId="77777777" w:rsidR="005C42C2" w:rsidRDefault="005C42C2" w:rsidP="009C259C">
            <w:pPr>
              <w:numPr>
                <w:ilvl w:val="0"/>
                <w:numId w:val="18"/>
              </w:numPr>
              <w:autoSpaceDN w:val="0"/>
              <w:spacing w:after="0" w:line="276" w:lineRule="auto"/>
              <w:ind w:right="49"/>
              <w:jc w:val="both"/>
              <w:rPr>
                <w:rFonts w:ascii="Book Antiqua" w:eastAsia="Times New Roman" w:hAnsi="Book Antiqua"/>
                <w:color w:val="000000"/>
              </w:rPr>
            </w:pPr>
            <w:r>
              <w:rPr>
                <w:rFonts w:ascii="Book Antiqua" w:eastAsia="Times New Roman" w:hAnsi="Book Antiqua"/>
                <w:color w:val="000000"/>
              </w:rPr>
              <w:t xml:space="preserve">Brindar acompañamiento y guía para la efectiva aplicación del proceso de mejora continua a los despachos y oficinas judiciales, mediante la asistencia de al menos una reunión al año por despacho u oficina. </w:t>
            </w:r>
          </w:p>
          <w:p w14:paraId="27D2F616" w14:textId="77777777" w:rsidR="005C42C2" w:rsidRDefault="005C42C2" w:rsidP="009C259C">
            <w:pPr>
              <w:numPr>
                <w:ilvl w:val="0"/>
                <w:numId w:val="18"/>
              </w:numPr>
              <w:autoSpaceDN w:val="0"/>
              <w:spacing w:after="0" w:line="276" w:lineRule="auto"/>
              <w:ind w:right="49"/>
              <w:jc w:val="both"/>
              <w:rPr>
                <w:rFonts w:ascii="Book Antiqua" w:eastAsia="Times New Roman" w:hAnsi="Book Antiqua"/>
                <w:color w:val="000000"/>
              </w:rPr>
            </w:pPr>
            <w:r>
              <w:rPr>
                <w:rFonts w:ascii="Book Antiqua" w:eastAsia="Times New Roman" w:hAnsi="Book Antiqua"/>
                <w:color w:val="000000"/>
              </w:rPr>
              <w:t xml:space="preserve">Realizar un informe semestral de las principales oportunidades de mejora identificadas en los despachos y oficinas judiciales a cargo, las mejoras realizadas, las acciones pendientes de finalizar y la colaboración que consideran requerida de parte de otras instancias judiciales. Este informe es de carácter ejecutivo, donde se incorporará los aspectos más relevantes y deberá ser remitido al Consejo de Administración del Circuito correspondiente. </w:t>
            </w:r>
          </w:p>
          <w:p w14:paraId="6337790A" w14:textId="77777777" w:rsidR="005C42C2" w:rsidRDefault="005C42C2" w:rsidP="009C259C">
            <w:pPr>
              <w:numPr>
                <w:ilvl w:val="0"/>
                <w:numId w:val="18"/>
              </w:numPr>
              <w:autoSpaceDN w:val="0"/>
              <w:spacing w:after="0" w:line="276" w:lineRule="auto"/>
              <w:ind w:right="49"/>
              <w:jc w:val="both"/>
              <w:rPr>
                <w:rFonts w:ascii="Book Antiqua" w:eastAsia="Times New Roman" w:hAnsi="Book Antiqua"/>
                <w:color w:val="000000"/>
              </w:rPr>
            </w:pPr>
            <w:r>
              <w:rPr>
                <w:rFonts w:ascii="Book Antiqua" w:eastAsia="Times New Roman" w:hAnsi="Book Antiqua"/>
                <w:color w:val="000000"/>
              </w:rPr>
              <w:t xml:space="preserve">Dar a conocer al Consejo de Administración, la Contraloría de Servicios Regional y Control Interno; inconsistencias, falta de cumplimientos o cualquier acción administrativa que los despachos y oficinas judiciales realicen, que afecte la operatividad del modelo de sostenibilidad de los proyectos de rediseño. </w:t>
            </w:r>
          </w:p>
          <w:p w14:paraId="622B66AC" w14:textId="77777777" w:rsidR="005C42C2" w:rsidRDefault="005C42C2" w:rsidP="009C259C">
            <w:pPr>
              <w:numPr>
                <w:ilvl w:val="0"/>
                <w:numId w:val="18"/>
              </w:numPr>
              <w:autoSpaceDN w:val="0"/>
              <w:spacing w:after="0" w:line="276" w:lineRule="auto"/>
              <w:ind w:right="49"/>
              <w:jc w:val="both"/>
              <w:rPr>
                <w:rFonts w:ascii="Book Antiqua" w:eastAsia="Times New Roman" w:hAnsi="Book Antiqua"/>
                <w:color w:val="000000"/>
              </w:rPr>
            </w:pPr>
            <w:r>
              <w:rPr>
                <w:rFonts w:ascii="Book Antiqua" w:eastAsia="Times New Roman" w:hAnsi="Book Antiqua"/>
                <w:color w:val="000000"/>
              </w:rPr>
              <w:t xml:space="preserve">Deberán remitir las actas de reunión, los indicadores de gestión y planes remediales enviados por los despachos judiciales a su cargo, al Centro de Apoyo, Coordinación y Mejoramiento a la Función Jurisdiccional mensualmente. </w:t>
            </w:r>
          </w:p>
          <w:p w14:paraId="6EE3198F" w14:textId="03769BEE" w:rsidR="005C42C2" w:rsidRDefault="005C42C2" w:rsidP="009C259C">
            <w:pPr>
              <w:numPr>
                <w:ilvl w:val="0"/>
                <w:numId w:val="18"/>
              </w:numPr>
              <w:autoSpaceDN w:val="0"/>
              <w:spacing w:after="0" w:line="276" w:lineRule="auto"/>
              <w:ind w:right="49"/>
              <w:jc w:val="both"/>
              <w:rPr>
                <w:rFonts w:ascii="Book Antiqua" w:hAnsi="Book Antiqua"/>
                <w:color w:val="000000"/>
              </w:rPr>
            </w:pPr>
            <w:r>
              <w:rPr>
                <w:rFonts w:ascii="Book Antiqua" w:eastAsia="Times New Roman" w:hAnsi="Book Antiqua"/>
                <w:color w:val="000000"/>
              </w:rPr>
              <w:t>Fungirán como punto de enlace entre los despachos judiciales y el Centro de Apoyo, Coordinación y Mejoramiento a la función jurisdiccional, en cuanto al tema de indicadores de gestión, planes remediales y el proceso de mejora continua.</w:t>
            </w:r>
          </w:p>
        </w:tc>
      </w:tr>
      <w:tr w:rsidR="005C42C2" w14:paraId="7A66C884" w14:textId="77777777" w:rsidTr="008B5F8F">
        <w:tc>
          <w:tcPr>
            <w:tcW w:w="212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2D1CABE" w14:textId="77777777" w:rsidR="005C42C2" w:rsidRDefault="005C42C2" w:rsidP="009C259C">
            <w:pPr>
              <w:numPr>
                <w:ilvl w:val="0"/>
                <w:numId w:val="19"/>
              </w:numPr>
              <w:autoSpaceDN w:val="0"/>
              <w:spacing w:after="0" w:line="252" w:lineRule="auto"/>
              <w:ind w:left="164" w:right="89" w:hanging="142"/>
              <w:rPr>
                <w:rFonts w:ascii="Book Antiqua" w:eastAsia="Times New Roman" w:hAnsi="Book Antiqua"/>
              </w:rPr>
            </w:pPr>
            <w:r>
              <w:rPr>
                <w:rFonts w:ascii="Book Antiqua" w:eastAsia="Times New Roman" w:hAnsi="Book Antiqua"/>
              </w:rPr>
              <w:t>Centro de Apoyo Coordinación y Mejoramiento a la Función Jurisdiccional</w:t>
            </w:r>
          </w:p>
        </w:tc>
        <w:tc>
          <w:tcPr>
            <w:tcW w:w="6843" w:type="dxa"/>
            <w:tcBorders>
              <w:top w:val="nil"/>
              <w:left w:val="nil"/>
              <w:bottom w:val="single" w:sz="8" w:space="0" w:color="auto"/>
              <w:right w:val="single" w:sz="8" w:space="0" w:color="auto"/>
            </w:tcBorders>
            <w:tcMar>
              <w:top w:w="0" w:type="dxa"/>
              <w:left w:w="108" w:type="dxa"/>
              <w:bottom w:w="0" w:type="dxa"/>
              <w:right w:w="108" w:type="dxa"/>
            </w:tcMar>
          </w:tcPr>
          <w:p w14:paraId="755BC1AC" w14:textId="77777777" w:rsidR="005C42C2" w:rsidRDefault="005C42C2" w:rsidP="009C259C">
            <w:pPr>
              <w:numPr>
                <w:ilvl w:val="0"/>
                <w:numId w:val="18"/>
              </w:numPr>
              <w:autoSpaceDN w:val="0"/>
              <w:spacing w:after="0" w:line="276" w:lineRule="auto"/>
              <w:ind w:right="49"/>
              <w:jc w:val="both"/>
              <w:rPr>
                <w:rFonts w:ascii="Book Antiqua" w:eastAsia="Times New Roman" w:hAnsi="Book Antiqua"/>
                <w:color w:val="000000"/>
              </w:rPr>
            </w:pPr>
            <w:r>
              <w:rPr>
                <w:rFonts w:ascii="Book Antiqua" w:eastAsia="Times New Roman" w:hAnsi="Book Antiqua"/>
                <w:color w:val="000000"/>
              </w:rPr>
              <w:t xml:space="preserve">Fungir como ente fiscalizador para el aseguramiento del cumplimiento del modelo de sostenibilidad de los proyectos de rediseño de los despachos jurisdiccionales en coordinación con las Administraciones Regionales y los despachos judiciales. </w:t>
            </w:r>
          </w:p>
          <w:p w14:paraId="5C21DDFE" w14:textId="77777777" w:rsidR="005C42C2" w:rsidRDefault="005C42C2" w:rsidP="009C259C">
            <w:pPr>
              <w:numPr>
                <w:ilvl w:val="0"/>
                <w:numId w:val="18"/>
              </w:numPr>
              <w:autoSpaceDN w:val="0"/>
              <w:spacing w:after="0" w:line="276" w:lineRule="auto"/>
              <w:ind w:right="49"/>
              <w:jc w:val="both"/>
              <w:rPr>
                <w:rFonts w:ascii="Book Antiqua" w:eastAsia="Times New Roman" w:hAnsi="Book Antiqua"/>
                <w:color w:val="000000"/>
              </w:rPr>
            </w:pPr>
            <w:r>
              <w:rPr>
                <w:rFonts w:ascii="Book Antiqua" w:eastAsia="Times New Roman" w:hAnsi="Book Antiqua"/>
                <w:color w:val="000000"/>
              </w:rPr>
              <w:t xml:space="preserve">Brindar acompañamiento continuo a las Administraciones Regionales para asegurar la operatividad estándar del modelo de sostenibilidad de proyectos de rediseño. </w:t>
            </w:r>
          </w:p>
          <w:p w14:paraId="44F4B23E" w14:textId="5384CBF4" w:rsidR="005C42C2" w:rsidRDefault="005C42C2" w:rsidP="009C259C">
            <w:pPr>
              <w:numPr>
                <w:ilvl w:val="0"/>
                <w:numId w:val="18"/>
              </w:numPr>
              <w:autoSpaceDN w:val="0"/>
              <w:spacing w:after="0" w:line="276" w:lineRule="auto"/>
              <w:ind w:right="49"/>
              <w:jc w:val="both"/>
              <w:rPr>
                <w:rFonts w:ascii="Book Antiqua" w:hAnsi="Book Antiqua"/>
              </w:rPr>
            </w:pPr>
            <w:r>
              <w:rPr>
                <w:rFonts w:ascii="Book Antiqua" w:eastAsia="Times New Roman" w:hAnsi="Book Antiqua"/>
                <w:color w:val="000000"/>
              </w:rPr>
              <w:t xml:space="preserve">Cuando sea requerido, recomendar la actualización de los rangos definidos en los indicadores de gestión al órgano técnico quien los definió, indicando la justificación respectiva. Para la emisión de esta recomendación, es importante asegurar que los cambios en los rangos serán propuestos únicamente, cuando han transcurrido al menos un periodo de 12 meses consecutivos con los últimos rangos definidos. Cumplido este plazo, el órgano técnico recibirá la recomendación y justificación brindada; seguidamente, procederá con el análisis y emisión de criterio técnico de la aprobación o rechazo de la modificación de rangos solicitado. </w:t>
            </w:r>
          </w:p>
        </w:tc>
      </w:tr>
    </w:tbl>
    <w:p w14:paraId="5427618B" w14:textId="77777777" w:rsidR="005C42C2" w:rsidRDefault="005C42C2" w:rsidP="005C42C2">
      <w:pPr>
        <w:rPr>
          <w:rFonts w:ascii="Times New Roman" w:hAnsi="Times New Roman" w:cs="Times New Roman"/>
          <w:sz w:val="24"/>
          <w:szCs w:val="24"/>
          <w:lang w:val="es-ES" w:eastAsia="es-ES"/>
        </w:rPr>
      </w:pPr>
    </w:p>
    <w:p w14:paraId="7CCE7B99" w14:textId="056C6946" w:rsidR="005C42C2" w:rsidRDefault="005C42C2" w:rsidP="00AC05DC">
      <w:pPr>
        <w:jc w:val="both"/>
        <w:rPr>
          <w:rFonts w:ascii="Book Antiqua" w:hAnsi="Book Antiqua"/>
          <w:color w:val="000000"/>
        </w:rPr>
      </w:pPr>
      <w:r>
        <w:rPr>
          <w:rFonts w:ascii="Book Antiqua" w:hAnsi="Book Antiqua"/>
          <w:color w:val="000000"/>
        </w:rPr>
        <w:t>Por lo tanto, deben los despachos, la Administración Regional y el Centro de Apoyo, continuar cumpliendo las labores que se les han consignado mediante el modelo.</w:t>
      </w:r>
    </w:p>
    <w:p w14:paraId="2B0F4BB7" w14:textId="77777777" w:rsidR="00995087" w:rsidRDefault="00995087" w:rsidP="00AC05DC">
      <w:pPr>
        <w:jc w:val="both"/>
        <w:rPr>
          <w:rFonts w:ascii="Book Antiqua" w:hAnsi="Book Antiqua" w:cs="Calibri"/>
          <w:color w:val="000000"/>
        </w:rPr>
      </w:pPr>
    </w:p>
    <w:bookmarkEnd w:id="10"/>
    <w:p w14:paraId="25E0398E" w14:textId="77777777" w:rsidR="00B979AE" w:rsidRPr="00410ED4" w:rsidRDefault="00B979AE" w:rsidP="00D611CE">
      <w:pPr>
        <w:pStyle w:val="Ttulo2"/>
      </w:pPr>
      <w:r w:rsidRPr="00410ED4">
        <w:t xml:space="preserve">Elementos Conclusivos </w:t>
      </w:r>
    </w:p>
    <w:p w14:paraId="511E5839" w14:textId="1FFD6809" w:rsidR="00B979AE" w:rsidRPr="00AC05DC" w:rsidRDefault="00B979AE" w:rsidP="00EE2E59">
      <w:pPr>
        <w:spacing w:line="276" w:lineRule="auto"/>
        <w:jc w:val="both"/>
        <w:rPr>
          <w:rFonts w:ascii="Book Antiqua" w:hAnsi="Book Antiqua"/>
          <w:highlight w:val="yellow"/>
        </w:rPr>
      </w:pPr>
    </w:p>
    <w:p w14:paraId="32EA35A6" w14:textId="5554681B" w:rsidR="0049461C" w:rsidRDefault="0049461C" w:rsidP="009C259C">
      <w:pPr>
        <w:pStyle w:val="Prrafodelista"/>
        <w:numPr>
          <w:ilvl w:val="0"/>
          <w:numId w:val="2"/>
        </w:numPr>
        <w:spacing w:line="276" w:lineRule="auto"/>
        <w:jc w:val="both"/>
        <w:rPr>
          <w:rFonts w:ascii="Book Antiqua" w:hAnsi="Book Antiqua"/>
        </w:rPr>
      </w:pPr>
      <w:r w:rsidRPr="0049461C">
        <w:rPr>
          <w:rFonts w:ascii="Book Antiqua" w:hAnsi="Book Antiqua"/>
        </w:rPr>
        <w:t>Los despachos con mayor cantidad de personas juzgadoras corresponden al Tribunal de Apelación Civil y Trabajo de Alajuela con seis personas y Tribunal Primer Circuito Judicial de la Zona Atlántica con cuatro personas</w:t>
      </w:r>
      <w:r w:rsidR="00F16027">
        <w:rPr>
          <w:rFonts w:ascii="Book Antiqua" w:hAnsi="Book Antiqua"/>
        </w:rPr>
        <w:t xml:space="preserve"> los restantes tribunales (salvo los especializados) cuentan con la estructura mínima de 3 plazas de persona juzgadora por Tribunal</w:t>
      </w:r>
      <w:r>
        <w:rPr>
          <w:rFonts w:ascii="Book Antiqua" w:hAnsi="Book Antiqua"/>
        </w:rPr>
        <w:t xml:space="preserve">. </w:t>
      </w:r>
    </w:p>
    <w:p w14:paraId="42FCFAD4" w14:textId="5589AEAD" w:rsidR="0049461C" w:rsidRPr="0049461C" w:rsidRDefault="0049461C" w:rsidP="009C259C">
      <w:pPr>
        <w:pStyle w:val="Prrafodelista"/>
        <w:numPr>
          <w:ilvl w:val="0"/>
          <w:numId w:val="2"/>
        </w:numPr>
        <w:spacing w:line="276" w:lineRule="auto"/>
        <w:jc w:val="both"/>
        <w:rPr>
          <w:rFonts w:ascii="Book Antiqua" w:hAnsi="Book Antiqua"/>
        </w:rPr>
      </w:pPr>
      <w:r w:rsidRPr="0049461C">
        <w:rPr>
          <w:rFonts w:ascii="Book Antiqua" w:hAnsi="Book Antiqua"/>
        </w:rPr>
        <w:t>La carga de trabajo ingresada a los Despachos durante periodo analizado promedia en 19 casos por persona juzgadora, lo cual representa un 5</w:t>
      </w:r>
      <w:r w:rsidR="00952403">
        <w:rPr>
          <w:rFonts w:ascii="Book Antiqua" w:hAnsi="Book Antiqua"/>
        </w:rPr>
        <w:t>6</w:t>
      </w:r>
      <w:r w:rsidRPr="0049461C">
        <w:rPr>
          <w:rFonts w:ascii="Book Antiqua" w:hAnsi="Book Antiqua"/>
        </w:rPr>
        <w:t>% representa la materia Civil y un 4</w:t>
      </w:r>
      <w:r w:rsidR="00952403">
        <w:rPr>
          <w:rFonts w:ascii="Book Antiqua" w:hAnsi="Book Antiqua"/>
        </w:rPr>
        <w:t>4</w:t>
      </w:r>
      <w:r w:rsidRPr="0049461C">
        <w:rPr>
          <w:rFonts w:ascii="Book Antiqua" w:hAnsi="Book Antiqua"/>
        </w:rPr>
        <w:t xml:space="preserve">% la materia de Trabajo. El Tribunal de Apelaciones Civil y Trabajo de </w:t>
      </w:r>
      <w:r w:rsidR="003A3ADC">
        <w:rPr>
          <w:rFonts w:ascii="Book Antiqua" w:hAnsi="Book Antiqua"/>
        </w:rPr>
        <w:t>Heredia</w:t>
      </w:r>
      <w:r w:rsidR="003A3ADC" w:rsidRPr="0049461C">
        <w:rPr>
          <w:rFonts w:ascii="Book Antiqua" w:hAnsi="Book Antiqua"/>
        </w:rPr>
        <w:t xml:space="preserve"> </w:t>
      </w:r>
      <w:r w:rsidRPr="0049461C">
        <w:rPr>
          <w:rFonts w:ascii="Book Antiqua" w:hAnsi="Book Antiqua"/>
        </w:rPr>
        <w:t>es el Despacho con mayor ingreso con 2</w:t>
      </w:r>
      <w:r w:rsidR="003A3ADC">
        <w:rPr>
          <w:rFonts w:ascii="Book Antiqua" w:hAnsi="Book Antiqua"/>
        </w:rPr>
        <w:t>5</w:t>
      </w:r>
      <w:r w:rsidRPr="0049461C">
        <w:rPr>
          <w:rFonts w:ascii="Book Antiqua" w:hAnsi="Book Antiqua"/>
        </w:rPr>
        <w:t xml:space="preserve"> casos entrados por plaza de Jueza o Juez.</w:t>
      </w:r>
    </w:p>
    <w:p w14:paraId="698DA55E" w14:textId="7BFB1E97" w:rsidR="0049461C" w:rsidRDefault="00F32A6D" w:rsidP="009C259C">
      <w:pPr>
        <w:pStyle w:val="Prrafodelista"/>
        <w:numPr>
          <w:ilvl w:val="0"/>
          <w:numId w:val="2"/>
        </w:numPr>
        <w:spacing w:line="276" w:lineRule="auto"/>
        <w:jc w:val="both"/>
        <w:rPr>
          <w:rFonts w:ascii="Book Antiqua" w:hAnsi="Book Antiqua"/>
        </w:rPr>
      </w:pPr>
      <w:r>
        <w:rPr>
          <w:rFonts w:ascii="Book Antiqua" w:hAnsi="Book Antiqua"/>
          <w:color w:val="000000" w:themeColor="text1"/>
        </w:rPr>
        <w:t xml:space="preserve">El promedio de asuntos entrados mensuales en </w:t>
      </w:r>
      <w:r w:rsidRPr="004D5DCF">
        <w:rPr>
          <w:rFonts w:ascii="Book Antiqua" w:hAnsi="Book Antiqua"/>
          <w:color w:val="000000" w:themeColor="text1"/>
        </w:rPr>
        <w:t xml:space="preserve">el 2018 </w:t>
      </w:r>
      <w:r>
        <w:rPr>
          <w:rFonts w:ascii="Book Antiqua" w:hAnsi="Book Antiqua"/>
          <w:color w:val="000000" w:themeColor="text1"/>
        </w:rPr>
        <w:t>corresponde a 425 asuntos, para el 2021 el promedio de asuntos entrados mensuales 539 asuntos, por lo que si se realiza comparación entre los periodos se logra observar un incremento de un 27% lo que es equivalente a 114 asuntos, en materia civil</w:t>
      </w:r>
      <w:r w:rsidRPr="004D5DCF">
        <w:rPr>
          <w:rFonts w:ascii="Book Antiqua" w:hAnsi="Book Antiqua"/>
          <w:color w:val="000000" w:themeColor="text1"/>
        </w:rPr>
        <w:t xml:space="preserve"> existió un aumento de </w:t>
      </w:r>
      <w:r>
        <w:rPr>
          <w:rFonts w:ascii="Book Antiqua" w:hAnsi="Book Antiqua"/>
          <w:color w:val="000000" w:themeColor="text1"/>
        </w:rPr>
        <w:t>82</w:t>
      </w:r>
      <w:r w:rsidRPr="004D5DCF">
        <w:rPr>
          <w:rFonts w:ascii="Book Antiqua" w:hAnsi="Book Antiqua"/>
          <w:color w:val="000000" w:themeColor="text1"/>
        </w:rPr>
        <w:t xml:space="preserve">% en </w:t>
      </w:r>
      <w:r>
        <w:rPr>
          <w:rFonts w:ascii="Book Antiqua" w:hAnsi="Book Antiqua"/>
          <w:color w:val="000000" w:themeColor="text1"/>
        </w:rPr>
        <w:t>el promedio mensual de</w:t>
      </w:r>
      <w:r w:rsidRPr="004D5DCF">
        <w:rPr>
          <w:rFonts w:ascii="Book Antiqua" w:hAnsi="Book Antiqua"/>
          <w:color w:val="000000" w:themeColor="text1"/>
        </w:rPr>
        <w:t xml:space="preserve"> casos entrados</w:t>
      </w:r>
      <w:r>
        <w:rPr>
          <w:rFonts w:ascii="Book Antiqua" w:hAnsi="Book Antiqua"/>
          <w:color w:val="000000" w:themeColor="text1"/>
        </w:rPr>
        <w:t>, lo que representó 157 asuntos mensuales, mientras que, para la materia laboral el promedio mensual en el 2021 se observó una disminución de 43 asuntos, lo que representó un 19</w:t>
      </w:r>
      <w:r w:rsidR="0049461C" w:rsidRPr="0049461C">
        <w:rPr>
          <w:rFonts w:ascii="Book Antiqua" w:hAnsi="Book Antiqua"/>
        </w:rPr>
        <w:t>%.</w:t>
      </w:r>
    </w:p>
    <w:p w14:paraId="68D0F22E" w14:textId="6BD17D2A" w:rsidR="0049461C" w:rsidRPr="00AC05DC" w:rsidRDefault="00B979AE" w:rsidP="009C259C">
      <w:pPr>
        <w:pStyle w:val="Prrafodelista"/>
        <w:numPr>
          <w:ilvl w:val="0"/>
          <w:numId w:val="2"/>
        </w:numPr>
        <w:spacing w:line="276" w:lineRule="auto"/>
        <w:jc w:val="both"/>
        <w:rPr>
          <w:rFonts w:ascii="Book Antiqua" w:hAnsi="Book Antiqua"/>
        </w:rPr>
      </w:pPr>
      <w:r>
        <w:rPr>
          <w:rFonts w:ascii="Book Antiqua" w:hAnsi="Book Antiqua"/>
        </w:rPr>
        <w:t xml:space="preserve">La mayor cantidad de casos ingresados en materia Civil a los Tribunales de Apelaciones Civil y Trabajo, son casos de procesos Monitorio dinerario, lo cual representa un </w:t>
      </w:r>
      <w:r w:rsidR="00D66028">
        <w:rPr>
          <w:rFonts w:ascii="Book Antiqua" w:hAnsi="Book Antiqua"/>
        </w:rPr>
        <w:t>32</w:t>
      </w:r>
      <w:r>
        <w:rPr>
          <w:rFonts w:ascii="Book Antiqua" w:hAnsi="Book Antiqua"/>
        </w:rPr>
        <w:t xml:space="preserve">% de la entrada. </w:t>
      </w:r>
    </w:p>
    <w:p w14:paraId="02698AC8" w14:textId="60F2F107" w:rsidR="00B979AE" w:rsidRDefault="00B979AE" w:rsidP="009C259C">
      <w:pPr>
        <w:pStyle w:val="Prrafodelista"/>
        <w:numPr>
          <w:ilvl w:val="0"/>
          <w:numId w:val="2"/>
        </w:numPr>
        <w:spacing w:line="276" w:lineRule="auto"/>
        <w:jc w:val="both"/>
        <w:rPr>
          <w:rFonts w:ascii="Book Antiqua" w:hAnsi="Book Antiqua"/>
        </w:rPr>
      </w:pPr>
      <w:r>
        <w:rPr>
          <w:rFonts w:ascii="Book Antiqua" w:hAnsi="Book Antiqua"/>
        </w:rPr>
        <w:t xml:space="preserve">En materia de Trabajo, la mayor cantidad de casos ingresados son en los procesos </w:t>
      </w:r>
      <w:r w:rsidRPr="00410ED4">
        <w:rPr>
          <w:rFonts w:ascii="Book Antiqua" w:hAnsi="Book Antiqua"/>
        </w:rPr>
        <w:t>Ordinarios del Sector Privado y Ordinarios de Sector Público, que porcentualmente representa un 4</w:t>
      </w:r>
      <w:r w:rsidR="0053274F">
        <w:rPr>
          <w:rFonts w:ascii="Book Antiqua" w:hAnsi="Book Antiqua"/>
        </w:rPr>
        <w:t>5</w:t>
      </w:r>
      <w:r w:rsidRPr="00410ED4">
        <w:rPr>
          <w:rFonts w:ascii="Book Antiqua" w:hAnsi="Book Antiqua"/>
        </w:rPr>
        <w:t>% y un 2</w:t>
      </w:r>
      <w:r w:rsidR="0053274F">
        <w:rPr>
          <w:rFonts w:ascii="Book Antiqua" w:hAnsi="Book Antiqua"/>
        </w:rPr>
        <w:t>4</w:t>
      </w:r>
      <w:r w:rsidRPr="00410ED4">
        <w:rPr>
          <w:rFonts w:ascii="Book Antiqua" w:hAnsi="Book Antiqua"/>
        </w:rPr>
        <w:t>%</w:t>
      </w:r>
      <w:r>
        <w:rPr>
          <w:rFonts w:ascii="Book Antiqua" w:hAnsi="Book Antiqua"/>
        </w:rPr>
        <w:t>.</w:t>
      </w:r>
    </w:p>
    <w:p w14:paraId="148943A6" w14:textId="68246E98" w:rsidR="00B979AE" w:rsidRPr="00AC05DC" w:rsidRDefault="00B979AE" w:rsidP="009C259C">
      <w:pPr>
        <w:pStyle w:val="Prrafodelista"/>
        <w:numPr>
          <w:ilvl w:val="0"/>
          <w:numId w:val="2"/>
        </w:numPr>
        <w:spacing w:line="276" w:lineRule="auto"/>
        <w:jc w:val="both"/>
        <w:rPr>
          <w:rFonts w:ascii="Book Antiqua" w:hAnsi="Book Antiqua"/>
        </w:rPr>
      </w:pPr>
      <w:r>
        <w:rPr>
          <w:rFonts w:ascii="Book Antiqua" w:hAnsi="Book Antiqua"/>
        </w:rPr>
        <w:t>E</w:t>
      </w:r>
      <w:r w:rsidRPr="00B76231">
        <w:rPr>
          <w:rFonts w:ascii="Book Antiqua" w:hAnsi="Book Antiqua"/>
        </w:rPr>
        <w:t>l 5</w:t>
      </w:r>
      <w:r w:rsidR="005A573D">
        <w:rPr>
          <w:rFonts w:ascii="Book Antiqua" w:hAnsi="Book Antiqua"/>
        </w:rPr>
        <w:t>4</w:t>
      </w:r>
      <w:r w:rsidRPr="00B76231">
        <w:rPr>
          <w:rFonts w:ascii="Book Antiqua" w:hAnsi="Book Antiqua"/>
        </w:rPr>
        <w:t>% de los asuntos terminados corresponden a materia Civil, en el que 4</w:t>
      </w:r>
      <w:r w:rsidR="005A573D">
        <w:rPr>
          <w:rFonts w:ascii="Book Antiqua" w:hAnsi="Book Antiqua"/>
        </w:rPr>
        <w:t>6</w:t>
      </w:r>
      <w:r w:rsidRPr="00B76231">
        <w:rPr>
          <w:rFonts w:ascii="Book Antiqua" w:hAnsi="Book Antiqua"/>
        </w:rPr>
        <w:t xml:space="preserve">% de materia Laboral, el Despacho que obtuvo la mayor cantidad de asuntos terminados corresponde al Tribunal de Alajuela con un </w:t>
      </w:r>
      <w:r w:rsidR="00493768">
        <w:rPr>
          <w:rFonts w:ascii="Book Antiqua" w:hAnsi="Book Antiqua"/>
        </w:rPr>
        <w:t>62</w:t>
      </w:r>
      <w:r w:rsidRPr="00B76231">
        <w:rPr>
          <w:rFonts w:ascii="Book Antiqua" w:hAnsi="Book Antiqua"/>
        </w:rPr>
        <w:t xml:space="preserve">% en materia Civil y un </w:t>
      </w:r>
      <w:r w:rsidR="00493768">
        <w:rPr>
          <w:rFonts w:ascii="Book Antiqua" w:hAnsi="Book Antiqua"/>
        </w:rPr>
        <w:t>38</w:t>
      </w:r>
      <w:r w:rsidRPr="00B76231">
        <w:rPr>
          <w:rFonts w:ascii="Book Antiqua" w:hAnsi="Book Antiqua"/>
        </w:rPr>
        <w:t>% en laboral.</w:t>
      </w:r>
    </w:p>
    <w:p w14:paraId="70F501A2" w14:textId="119A52F8" w:rsidR="00B979AE" w:rsidRDefault="00B979AE" w:rsidP="009C259C">
      <w:pPr>
        <w:pStyle w:val="Prrafodelista"/>
        <w:numPr>
          <w:ilvl w:val="0"/>
          <w:numId w:val="2"/>
        </w:numPr>
        <w:spacing w:line="276" w:lineRule="auto"/>
        <w:jc w:val="both"/>
        <w:rPr>
          <w:rFonts w:ascii="Book Antiqua" w:hAnsi="Book Antiqua"/>
        </w:rPr>
      </w:pPr>
      <w:r>
        <w:rPr>
          <w:rFonts w:ascii="Book Antiqua" w:hAnsi="Book Antiqua"/>
        </w:rPr>
        <w:t>L</w:t>
      </w:r>
      <w:r w:rsidRPr="00410ED4">
        <w:rPr>
          <w:rFonts w:ascii="Book Antiqua" w:hAnsi="Book Antiqua"/>
        </w:rPr>
        <w:t>os asuntos terminados en materia Civil</w:t>
      </w:r>
      <w:r>
        <w:rPr>
          <w:rFonts w:ascii="Book Antiqua" w:hAnsi="Book Antiqua"/>
        </w:rPr>
        <w:t xml:space="preserve"> durante el periodo 2018</w:t>
      </w:r>
      <w:r w:rsidR="003F5E1A">
        <w:rPr>
          <w:rFonts w:ascii="Book Antiqua" w:hAnsi="Book Antiqua"/>
        </w:rPr>
        <w:t>,</w:t>
      </w:r>
      <w:r>
        <w:rPr>
          <w:rFonts w:ascii="Book Antiqua" w:hAnsi="Book Antiqua"/>
        </w:rPr>
        <w:t xml:space="preserve"> 2019</w:t>
      </w:r>
      <w:r w:rsidRPr="00410ED4">
        <w:rPr>
          <w:rFonts w:ascii="Book Antiqua" w:hAnsi="Book Antiqua"/>
        </w:rPr>
        <w:t>,</w:t>
      </w:r>
      <w:r w:rsidR="003F5E1A">
        <w:rPr>
          <w:rFonts w:ascii="Book Antiqua" w:hAnsi="Book Antiqua"/>
        </w:rPr>
        <w:t>2020 y primer Semestre del 2021</w:t>
      </w:r>
      <w:r w:rsidRPr="00410ED4">
        <w:rPr>
          <w:rFonts w:ascii="Book Antiqua" w:hAnsi="Book Antiqua"/>
        </w:rPr>
        <w:t xml:space="preserve"> el </w:t>
      </w:r>
      <w:r w:rsidR="003F5E1A">
        <w:rPr>
          <w:rFonts w:ascii="Book Antiqua" w:hAnsi="Book Antiqua"/>
        </w:rPr>
        <w:t>40</w:t>
      </w:r>
      <w:r w:rsidRPr="00410ED4">
        <w:rPr>
          <w:rFonts w:ascii="Book Antiqua" w:hAnsi="Book Antiqua"/>
        </w:rPr>
        <w:t>% fueron finalizados por resoluciones Confirmatorias</w:t>
      </w:r>
      <w:r>
        <w:rPr>
          <w:rFonts w:ascii="Book Antiqua" w:hAnsi="Book Antiqua"/>
        </w:rPr>
        <w:t>.</w:t>
      </w:r>
      <w:r w:rsidRPr="00C122C5">
        <w:rPr>
          <w:rFonts w:ascii="Book Antiqua" w:hAnsi="Book Antiqua"/>
        </w:rPr>
        <w:t xml:space="preserve"> </w:t>
      </w:r>
      <w:r>
        <w:rPr>
          <w:rFonts w:ascii="Book Antiqua" w:hAnsi="Book Antiqua"/>
        </w:rPr>
        <w:t xml:space="preserve">El Tribunal de Apelación Civil y Laboral de Alajuela, corresponde al Despacho que tiene la mayor cantidad de asuntos terminados con </w:t>
      </w:r>
      <w:r w:rsidR="00006477">
        <w:rPr>
          <w:rFonts w:ascii="Book Antiqua" w:hAnsi="Book Antiqua"/>
        </w:rPr>
        <w:t>3714</w:t>
      </w:r>
      <w:r>
        <w:rPr>
          <w:rFonts w:ascii="Book Antiqua" w:hAnsi="Book Antiqua"/>
        </w:rPr>
        <w:t xml:space="preserve">. </w:t>
      </w:r>
    </w:p>
    <w:p w14:paraId="4C92B4A2" w14:textId="5496D41F" w:rsidR="00B979AE" w:rsidRDefault="00B979AE" w:rsidP="009C259C">
      <w:pPr>
        <w:pStyle w:val="Prrafodelista"/>
        <w:numPr>
          <w:ilvl w:val="0"/>
          <w:numId w:val="2"/>
        </w:numPr>
        <w:spacing w:line="276" w:lineRule="auto"/>
        <w:jc w:val="both"/>
        <w:rPr>
          <w:rFonts w:ascii="Book Antiqua" w:hAnsi="Book Antiqua"/>
        </w:rPr>
      </w:pPr>
      <w:r>
        <w:rPr>
          <w:rFonts w:ascii="Book Antiqua" w:hAnsi="Book Antiqua"/>
        </w:rPr>
        <w:t>En materia de Trabajo, el 3</w:t>
      </w:r>
      <w:r w:rsidR="00C30BE9">
        <w:rPr>
          <w:rFonts w:ascii="Book Antiqua" w:hAnsi="Book Antiqua"/>
        </w:rPr>
        <w:t>5</w:t>
      </w:r>
      <w:r>
        <w:rPr>
          <w:rFonts w:ascii="Book Antiqua" w:hAnsi="Book Antiqua"/>
        </w:rPr>
        <w:t xml:space="preserve">% de los casos fueron finalizados por resolución confirmatoria.  El Tribunal de Apelaciones de Alajuela corresponde al Despacho que finalizó más </w:t>
      </w:r>
      <w:r w:rsidRPr="004C662D">
        <w:rPr>
          <w:rFonts w:ascii="Book Antiqua" w:hAnsi="Book Antiqua"/>
        </w:rPr>
        <w:t xml:space="preserve">asuntos en material laboral con </w:t>
      </w:r>
      <w:r w:rsidR="008F3B0B">
        <w:rPr>
          <w:rFonts w:ascii="Book Antiqua" w:hAnsi="Book Antiqua"/>
        </w:rPr>
        <w:t>1483</w:t>
      </w:r>
      <w:r w:rsidR="008F3B0B" w:rsidRPr="004C662D">
        <w:rPr>
          <w:rFonts w:ascii="Book Antiqua" w:hAnsi="Book Antiqua"/>
        </w:rPr>
        <w:t xml:space="preserve"> </w:t>
      </w:r>
      <w:r w:rsidRPr="004C662D">
        <w:rPr>
          <w:rFonts w:ascii="Book Antiqua" w:hAnsi="Book Antiqua"/>
        </w:rPr>
        <w:t>en el periodo analizado.</w:t>
      </w:r>
    </w:p>
    <w:p w14:paraId="148F0F2E" w14:textId="56F7E061" w:rsidR="00F16027" w:rsidRPr="00EB031E" w:rsidRDefault="00F16027" w:rsidP="00F16027">
      <w:pPr>
        <w:pStyle w:val="Prrafodelista"/>
        <w:numPr>
          <w:ilvl w:val="0"/>
          <w:numId w:val="2"/>
        </w:numPr>
        <w:spacing w:line="276" w:lineRule="auto"/>
        <w:jc w:val="both"/>
        <w:rPr>
          <w:rFonts w:ascii="Book Antiqua" w:hAnsi="Book Antiqua"/>
        </w:rPr>
      </w:pPr>
      <w:r w:rsidRPr="00EB031E">
        <w:rPr>
          <w:rFonts w:ascii="Book Antiqua" w:hAnsi="Book Antiqua"/>
        </w:rPr>
        <w:t>La cuota implica cantidad mínima de asuntos votados-fenecidos por mes por sentencia por plaza. Sin embargo, entre los motivos de termino o cierre de los recursos hay otras opciones además de voto (según la fórmula estadística actual los motivos de término disponibles para un tribunal de apelación son entre otras: Confirmatorias, Revocatorias, Desistimiento, Modificatorias, Aprobatorias, Anulaciones, Resolver competencia, Con Lugar (Apel. Inadmis.), Sin Lugar (Apel. Inadmis.), Sentencia Dictada, Incompetencia, Mal Admitida, Se Rechaza apelación, Giro de Renta, Devuelto por trámite incompleto, Acumulación, Emplazamiento por trámites pendientes y Otro tipo de resolución).</w:t>
      </w:r>
    </w:p>
    <w:p w14:paraId="33A58C6B" w14:textId="665E0A21" w:rsidR="00B979AE" w:rsidRPr="00AC05DC" w:rsidRDefault="00B979AE" w:rsidP="009C259C">
      <w:pPr>
        <w:pStyle w:val="Prrafodelista"/>
        <w:numPr>
          <w:ilvl w:val="0"/>
          <w:numId w:val="2"/>
        </w:numPr>
        <w:spacing w:line="276" w:lineRule="auto"/>
        <w:jc w:val="both"/>
        <w:rPr>
          <w:rFonts w:ascii="Book Antiqua" w:hAnsi="Book Antiqua"/>
        </w:rPr>
      </w:pPr>
      <w:r w:rsidRPr="004C662D">
        <w:rPr>
          <w:rFonts w:ascii="Book Antiqua" w:hAnsi="Book Antiqua"/>
        </w:rPr>
        <w:t>La entrada de casos</w:t>
      </w:r>
      <w:r w:rsidRPr="0019160A">
        <w:rPr>
          <w:rFonts w:ascii="Book Antiqua" w:hAnsi="Book Antiqua"/>
        </w:rPr>
        <w:t xml:space="preserve"> en los </w:t>
      </w:r>
      <w:r w:rsidRPr="004C662D">
        <w:rPr>
          <w:rFonts w:ascii="Book Antiqua" w:hAnsi="Book Antiqua"/>
        </w:rPr>
        <w:t>Tribunal</w:t>
      </w:r>
      <w:r w:rsidR="00B442CF" w:rsidRPr="009923E4">
        <w:rPr>
          <w:rFonts w:ascii="Book Antiqua" w:hAnsi="Book Antiqua"/>
        </w:rPr>
        <w:t>es</w:t>
      </w:r>
      <w:r w:rsidRPr="004C662D">
        <w:rPr>
          <w:rFonts w:ascii="Book Antiqua" w:hAnsi="Book Antiqua"/>
        </w:rPr>
        <w:t xml:space="preserve"> de Apelación Civil y Trabajo</w:t>
      </w:r>
      <w:r w:rsidR="00FC042D" w:rsidRPr="004C662D">
        <w:rPr>
          <w:rFonts w:ascii="Book Antiqua" w:hAnsi="Book Antiqua"/>
        </w:rPr>
        <w:t xml:space="preserve">  de</w:t>
      </w:r>
      <w:r w:rsidR="00FC042D">
        <w:rPr>
          <w:rFonts w:ascii="Book Antiqua" w:hAnsi="Book Antiqua"/>
        </w:rPr>
        <w:t xml:space="preserve"> Alajuela</w:t>
      </w:r>
      <w:r w:rsidRPr="0049461C">
        <w:rPr>
          <w:rFonts w:ascii="Book Antiqua" w:hAnsi="Book Antiqua"/>
        </w:rPr>
        <w:t xml:space="preserve"> </w:t>
      </w:r>
      <w:r w:rsidR="00B442CF">
        <w:rPr>
          <w:rFonts w:ascii="Book Antiqua" w:hAnsi="Book Antiqua"/>
        </w:rPr>
        <w:t xml:space="preserve">sumado a la cantidad de personal, en donde solamente en Alajuela se cuenta con un tribunal competente en ambas materias con 2 secciones, </w:t>
      </w:r>
      <w:r w:rsidRPr="0049461C">
        <w:rPr>
          <w:rFonts w:ascii="Book Antiqua" w:hAnsi="Book Antiqua"/>
        </w:rPr>
        <w:t xml:space="preserve">no permite que trabajen bajo la modalidad de especialización por materia entre el personal juzgador, debido a que en promedio la materia Civil tiene una entrada del </w:t>
      </w:r>
      <w:r w:rsidR="0049461C" w:rsidRPr="0049461C">
        <w:rPr>
          <w:rFonts w:ascii="Book Antiqua" w:hAnsi="Book Antiqua"/>
        </w:rPr>
        <w:t>6</w:t>
      </w:r>
      <w:r w:rsidR="006B1EFC">
        <w:rPr>
          <w:rFonts w:ascii="Book Antiqua" w:hAnsi="Book Antiqua"/>
        </w:rPr>
        <w:t>5</w:t>
      </w:r>
      <w:r w:rsidRPr="0049461C">
        <w:rPr>
          <w:rFonts w:ascii="Book Antiqua" w:hAnsi="Book Antiqua"/>
        </w:rPr>
        <w:t xml:space="preserve">% con respecto a la entrada total y la materia de Trabajo un </w:t>
      </w:r>
      <w:r w:rsidR="006B1EFC" w:rsidRPr="0049461C">
        <w:rPr>
          <w:rFonts w:ascii="Book Antiqua" w:hAnsi="Book Antiqua"/>
        </w:rPr>
        <w:t>3</w:t>
      </w:r>
      <w:r w:rsidR="006B1EFC">
        <w:rPr>
          <w:rFonts w:ascii="Book Antiqua" w:hAnsi="Book Antiqua"/>
        </w:rPr>
        <w:t>5</w:t>
      </w:r>
      <w:r w:rsidRPr="0049461C">
        <w:rPr>
          <w:rFonts w:ascii="Book Antiqua" w:hAnsi="Book Antiqua"/>
        </w:rPr>
        <w:t>%, por lo que es conveniente que las personas juzgadoras conozcan a ambas materias.</w:t>
      </w:r>
    </w:p>
    <w:p w14:paraId="52F02EDC" w14:textId="5EF75EEC" w:rsidR="0049461C" w:rsidRPr="00E6053A" w:rsidRDefault="0049461C" w:rsidP="009C259C">
      <w:pPr>
        <w:pStyle w:val="Prrafodelista"/>
        <w:numPr>
          <w:ilvl w:val="0"/>
          <w:numId w:val="2"/>
        </w:numPr>
        <w:spacing w:line="276" w:lineRule="auto"/>
        <w:jc w:val="both"/>
        <w:rPr>
          <w:rFonts w:ascii="Book Antiqua" w:hAnsi="Book Antiqua"/>
        </w:rPr>
      </w:pPr>
      <w:r w:rsidRPr="00302589">
        <w:rPr>
          <w:rFonts w:ascii="Book Antiqua" w:hAnsi="Book Antiqua"/>
        </w:rPr>
        <w:t xml:space="preserve">Durante el 2018 y 2019 el </w:t>
      </w:r>
      <w:r w:rsidRPr="00302589">
        <w:rPr>
          <w:rFonts w:ascii="Book Antiqua" w:hAnsi="Book Antiqua" w:cs="Book Antiqua"/>
        </w:rPr>
        <w:t>Centro de Apoyo, Coordinación y Mejoramiento de la Función Jurisdiccional</w:t>
      </w:r>
      <w:r w:rsidRPr="00E6053A">
        <w:rPr>
          <w:rFonts w:ascii="Book Antiqua" w:hAnsi="Book Antiqua"/>
        </w:rPr>
        <w:t xml:space="preserve"> brindo colaboración a los Tribunales de Apelación</w:t>
      </w:r>
      <w:r w:rsidR="00B80B9C" w:rsidRPr="00E6053A">
        <w:rPr>
          <w:rFonts w:ascii="Book Antiqua" w:hAnsi="Book Antiqua"/>
        </w:rPr>
        <w:t xml:space="preserve"> donde el trabajo realizado equivale</w:t>
      </w:r>
      <w:r w:rsidRPr="00E6053A">
        <w:rPr>
          <w:rFonts w:ascii="Book Antiqua" w:hAnsi="Book Antiqua"/>
        </w:rPr>
        <w:t xml:space="preserve"> </w:t>
      </w:r>
      <w:r w:rsidR="00B80B9C" w:rsidRPr="00E6053A">
        <w:rPr>
          <w:rFonts w:ascii="Book Antiqua" w:hAnsi="Book Antiqua"/>
        </w:rPr>
        <w:t>a</w:t>
      </w:r>
      <w:r w:rsidRPr="00E6053A">
        <w:rPr>
          <w:rFonts w:ascii="Book Antiqua" w:hAnsi="Book Antiqua"/>
        </w:rPr>
        <w:t xml:space="preserve"> un 13%</w:t>
      </w:r>
      <w:r w:rsidR="00B80B9C" w:rsidRPr="00E6053A">
        <w:rPr>
          <w:rFonts w:ascii="Book Antiqua" w:hAnsi="Book Antiqua"/>
        </w:rPr>
        <w:t xml:space="preserve"> </w:t>
      </w:r>
      <w:r w:rsidRPr="00E6053A">
        <w:rPr>
          <w:rFonts w:ascii="Book Antiqua" w:hAnsi="Book Antiqua"/>
        </w:rPr>
        <w:t xml:space="preserve">lo que representó el dictado de 789 sentencias en materia civil y 17% equivalente a 1021 sentencias en materia laboral, para un total de 1810 sentencias. </w:t>
      </w:r>
    </w:p>
    <w:p w14:paraId="63429F5D" w14:textId="513783C0" w:rsidR="0049461C" w:rsidRPr="000D2D78" w:rsidRDefault="0049461C" w:rsidP="009C259C">
      <w:pPr>
        <w:pStyle w:val="Prrafodelista"/>
        <w:numPr>
          <w:ilvl w:val="0"/>
          <w:numId w:val="2"/>
        </w:numPr>
        <w:spacing w:line="276" w:lineRule="auto"/>
        <w:jc w:val="both"/>
      </w:pPr>
      <w:r w:rsidRPr="000D2D78">
        <w:rPr>
          <w:rFonts w:ascii="Book Antiqua" w:hAnsi="Book Antiqua"/>
        </w:rPr>
        <w:t xml:space="preserve">El despacho que recibió mayor colaboración corresponde a Tribunal De Apelación Civil y </w:t>
      </w:r>
      <w:r w:rsidR="00B442CF" w:rsidRPr="000D2D78">
        <w:rPr>
          <w:rFonts w:ascii="Book Antiqua" w:hAnsi="Book Antiqua"/>
        </w:rPr>
        <w:t xml:space="preserve">de </w:t>
      </w:r>
      <w:r w:rsidRPr="000D2D78">
        <w:rPr>
          <w:rFonts w:ascii="Book Antiqua" w:hAnsi="Book Antiqua"/>
        </w:rPr>
        <w:t xml:space="preserve">Trabajo </w:t>
      </w:r>
      <w:r w:rsidR="00B442CF" w:rsidRPr="000D2D78">
        <w:rPr>
          <w:rFonts w:ascii="Book Antiqua" w:hAnsi="Book Antiqua"/>
        </w:rPr>
        <w:t xml:space="preserve">de </w:t>
      </w:r>
      <w:r w:rsidRPr="000D2D78">
        <w:rPr>
          <w:rFonts w:ascii="Book Antiqua" w:hAnsi="Book Antiqua"/>
        </w:rPr>
        <w:t>Alajuela</w:t>
      </w:r>
      <w:r w:rsidR="0096028E" w:rsidRPr="00EB031E">
        <w:rPr>
          <w:rFonts w:ascii="Book Antiqua" w:hAnsi="Book Antiqua"/>
        </w:rPr>
        <w:t xml:space="preserve">, con la colaboración de </w:t>
      </w:r>
      <w:r w:rsidR="00203E65" w:rsidRPr="00EB031E">
        <w:rPr>
          <w:rFonts w:ascii="Book Antiqua" w:hAnsi="Book Antiqua"/>
        </w:rPr>
        <w:t>773 asuntos distribuidos en 335 civil y 438 laboral</w:t>
      </w:r>
      <w:r w:rsidR="004233CD" w:rsidRPr="00302589">
        <w:rPr>
          <w:rFonts w:ascii="Book Antiqua" w:hAnsi="Book Antiqua"/>
        </w:rPr>
        <w:t>.</w:t>
      </w:r>
      <w:r w:rsidRPr="00302589">
        <w:rPr>
          <w:rFonts w:ascii="Book Antiqua" w:hAnsi="Book Antiqua"/>
        </w:rPr>
        <w:t xml:space="preserve"> </w:t>
      </w:r>
    </w:p>
    <w:p w14:paraId="53EC93E0" w14:textId="589E2872" w:rsidR="007E34AF" w:rsidRPr="00302589" w:rsidRDefault="0049461C" w:rsidP="009C259C">
      <w:pPr>
        <w:pStyle w:val="Prrafodelista"/>
        <w:numPr>
          <w:ilvl w:val="0"/>
          <w:numId w:val="2"/>
        </w:numPr>
        <w:spacing w:line="276" w:lineRule="auto"/>
        <w:jc w:val="both"/>
        <w:rPr>
          <w:rFonts w:ascii="Book Antiqua" w:hAnsi="Book Antiqua"/>
        </w:rPr>
      </w:pPr>
      <w:r w:rsidRPr="00302589">
        <w:rPr>
          <w:rFonts w:ascii="Book Antiqua" w:hAnsi="Book Antiqua"/>
        </w:rPr>
        <w:t xml:space="preserve">Disminuyendo la colaboración del </w:t>
      </w:r>
      <w:r w:rsidRPr="00302589">
        <w:rPr>
          <w:rFonts w:ascii="Book Antiqua" w:hAnsi="Book Antiqua" w:cs="Book Antiqua"/>
        </w:rPr>
        <w:t>Centro de Apoyo, Coordinación y Mejoramiento de la Función Jurisdiccional</w:t>
      </w:r>
      <w:r w:rsidRPr="00302589">
        <w:rPr>
          <w:rFonts w:ascii="Book Antiqua" w:hAnsi="Book Antiqua"/>
        </w:rPr>
        <w:t xml:space="preserve"> a cantidad de asuntos finalizados durante el 2018 y 2019, se identificó que el promedio de la media nacional en la cantidad de asuntos terminados por mes por persona juzgadora es </w:t>
      </w:r>
      <w:r w:rsidRPr="00EB031E">
        <w:rPr>
          <w:rFonts w:ascii="Book Antiqua" w:hAnsi="Book Antiqua"/>
          <w:b/>
          <w:bCs/>
        </w:rPr>
        <w:t>de 18 asuntos</w:t>
      </w:r>
      <w:r w:rsidRPr="00302589">
        <w:rPr>
          <w:rFonts w:ascii="Book Antiqua" w:hAnsi="Book Antiqua"/>
        </w:rPr>
        <w:t>, por debajo de la media se encuentran Tribunal de Apelación Civil y Trabajo Liberia, Tribunal de Apelación Civil y Trabajo de Limón y Tribunal de Apelación Civil y Trabajo de Puntarenas, con un promedio de 16,14 y 1</w:t>
      </w:r>
      <w:r w:rsidR="00302589" w:rsidRPr="00EB031E">
        <w:rPr>
          <w:rFonts w:ascii="Book Antiqua" w:hAnsi="Book Antiqua"/>
        </w:rPr>
        <w:t>3</w:t>
      </w:r>
      <w:r w:rsidRPr="00302589">
        <w:rPr>
          <w:rFonts w:ascii="Book Antiqua" w:hAnsi="Book Antiqua"/>
        </w:rPr>
        <w:t xml:space="preserve"> asuntos respectivamente.</w:t>
      </w:r>
      <w:r w:rsidR="00B442CF" w:rsidRPr="00302589">
        <w:rPr>
          <w:rFonts w:ascii="Book Antiqua" w:hAnsi="Book Antiqua"/>
        </w:rPr>
        <w:t xml:space="preserve"> Es decir, la cantidad de asuntos terminados por plaza se ajusta a la cuota de trabajo actual</w:t>
      </w:r>
      <w:r w:rsidR="00364763" w:rsidRPr="00302589">
        <w:rPr>
          <w:rFonts w:ascii="Book Antiqua" w:hAnsi="Book Antiqua"/>
        </w:rPr>
        <w:t xml:space="preserve"> </w:t>
      </w:r>
      <w:r w:rsidR="00B442CF" w:rsidRPr="00302589">
        <w:rPr>
          <w:rFonts w:ascii="Book Antiqua" w:hAnsi="Book Antiqua"/>
        </w:rPr>
        <w:t xml:space="preserve">(17 asuntos </w:t>
      </w:r>
      <w:r w:rsidR="00364763" w:rsidRPr="00302589">
        <w:rPr>
          <w:rFonts w:ascii="Book Antiqua" w:hAnsi="Book Antiqua"/>
        </w:rPr>
        <w:t>terminados</w:t>
      </w:r>
      <w:r w:rsidR="00B442CF" w:rsidRPr="00302589">
        <w:rPr>
          <w:rFonts w:ascii="Book Antiqua" w:hAnsi="Book Antiqua"/>
        </w:rPr>
        <w:t xml:space="preserve"> por plaza). </w:t>
      </w:r>
    </w:p>
    <w:p w14:paraId="737989B9" w14:textId="15FD8C19" w:rsidR="00F26011" w:rsidRPr="00A57B1C" w:rsidRDefault="0049461C" w:rsidP="009C259C">
      <w:pPr>
        <w:pStyle w:val="Prrafodelista"/>
        <w:numPr>
          <w:ilvl w:val="0"/>
          <w:numId w:val="2"/>
        </w:numPr>
        <w:spacing w:line="276" w:lineRule="auto"/>
        <w:jc w:val="both"/>
        <w:rPr>
          <w:rFonts w:ascii="Book Antiqua" w:hAnsi="Book Antiqua"/>
        </w:rPr>
      </w:pPr>
      <w:r w:rsidRPr="00AC05DC">
        <w:rPr>
          <w:rFonts w:ascii="Book Antiqua" w:hAnsi="Book Antiqua"/>
        </w:rPr>
        <w:t xml:space="preserve"> </w:t>
      </w:r>
      <w:r w:rsidR="00B442CF">
        <w:rPr>
          <w:rFonts w:ascii="Book Antiqua" w:hAnsi="Book Antiqua"/>
        </w:rPr>
        <w:t>L</w:t>
      </w:r>
      <w:r w:rsidR="00F26011" w:rsidRPr="00A57B1C">
        <w:rPr>
          <w:rFonts w:ascii="Book Antiqua" w:hAnsi="Book Antiqua"/>
        </w:rPr>
        <w:t>a especialización</w:t>
      </w:r>
      <w:r w:rsidR="00B442CF">
        <w:rPr>
          <w:rFonts w:ascii="Book Antiqua" w:hAnsi="Book Antiqua"/>
        </w:rPr>
        <w:t xml:space="preserve"> de las secciones</w:t>
      </w:r>
      <w:r w:rsidR="00F26011" w:rsidRPr="00A57B1C">
        <w:rPr>
          <w:rFonts w:ascii="Book Antiqua" w:hAnsi="Book Antiqua"/>
        </w:rPr>
        <w:t xml:space="preserve"> en el </w:t>
      </w:r>
      <w:r w:rsidR="00F26011" w:rsidRPr="00A57B1C">
        <w:rPr>
          <w:rFonts w:ascii="Book Antiqua" w:eastAsia="Times New Roman" w:hAnsi="Book Antiqua" w:cs="Times New Roman"/>
          <w:color w:val="000000"/>
          <w:lang w:eastAsia="es-CR"/>
        </w:rPr>
        <w:t xml:space="preserve">Tribunal de Apelación Civil y </w:t>
      </w:r>
      <w:r w:rsidR="00B442CF">
        <w:rPr>
          <w:rFonts w:ascii="Book Antiqua" w:eastAsia="Times New Roman" w:hAnsi="Book Antiqua" w:cs="Times New Roman"/>
          <w:color w:val="000000"/>
          <w:lang w:eastAsia="es-CR"/>
        </w:rPr>
        <w:t xml:space="preserve">de </w:t>
      </w:r>
      <w:r w:rsidR="00F26011" w:rsidRPr="00A57B1C">
        <w:rPr>
          <w:rFonts w:ascii="Book Antiqua" w:eastAsia="Times New Roman" w:hAnsi="Book Antiqua" w:cs="Times New Roman"/>
          <w:color w:val="000000"/>
          <w:lang w:eastAsia="es-CR"/>
        </w:rPr>
        <w:t xml:space="preserve">Trabajo de Alajuela </w:t>
      </w:r>
      <w:r w:rsidR="00B442CF">
        <w:rPr>
          <w:rFonts w:ascii="Book Antiqua" w:eastAsia="Times New Roman" w:hAnsi="Book Antiqua" w:cs="Times New Roman"/>
          <w:color w:val="000000"/>
          <w:lang w:eastAsia="es-CR"/>
        </w:rPr>
        <w:t xml:space="preserve">provocaría que </w:t>
      </w:r>
      <w:r w:rsidR="00F26011" w:rsidRPr="00A57B1C">
        <w:rPr>
          <w:rFonts w:ascii="Book Antiqua" w:hAnsi="Book Antiqua"/>
          <w:szCs w:val="24"/>
        </w:rPr>
        <w:t>la carga de trabajo promedio mensual por persona juzgadora en material civil sería de 3</w:t>
      </w:r>
      <w:r w:rsidR="005B2329">
        <w:rPr>
          <w:rFonts w:ascii="Book Antiqua" w:hAnsi="Book Antiqua"/>
          <w:szCs w:val="24"/>
        </w:rPr>
        <w:t>1</w:t>
      </w:r>
      <w:r w:rsidR="00F26011" w:rsidRPr="00A57B1C">
        <w:rPr>
          <w:rFonts w:ascii="Book Antiqua" w:hAnsi="Book Antiqua"/>
          <w:szCs w:val="24"/>
        </w:rPr>
        <w:t xml:space="preserve"> casos y </w:t>
      </w:r>
      <w:r w:rsidR="00D017CF">
        <w:rPr>
          <w:rFonts w:ascii="Book Antiqua" w:hAnsi="Book Antiqua"/>
          <w:szCs w:val="24"/>
        </w:rPr>
        <w:t>17</w:t>
      </w:r>
      <w:r w:rsidR="00B442CF">
        <w:rPr>
          <w:rFonts w:ascii="Book Antiqua" w:hAnsi="Book Antiqua"/>
          <w:szCs w:val="24"/>
        </w:rPr>
        <w:t xml:space="preserve"> </w:t>
      </w:r>
      <w:r w:rsidR="00F26011" w:rsidRPr="00A57B1C">
        <w:rPr>
          <w:rFonts w:ascii="Book Antiqua" w:hAnsi="Book Antiqua"/>
          <w:szCs w:val="24"/>
        </w:rPr>
        <w:t>en materia de Trabajo</w:t>
      </w:r>
      <w:r w:rsidR="00B442CF">
        <w:rPr>
          <w:rFonts w:ascii="Book Antiqua" w:hAnsi="Book Antiqua"/>
          <w:szCs w:val="24"/>
        </w:rPr>
        <w:t>;</w:t>
      </w:r>
      <w:r w:rsidR="00F26011" w:rsidRPr="00A57B1C">
        <w:rPr>
          <w:rFonts w:ascii="Book Antiqua" w:hAnsi="Book Antiqua"/>
        </w:rPr>
        <w:t xml:space="preserve"> por lo cual se verá beneficiados una porción de las Juezas y Jueces</w:t>
      </w:r>
      <w:r w:rsidR="00B442CF">
        <w:rPr>
          <w:rFonts w:ascii="Book Antiqua" w:hAnsi="Book Antiqua"/>
        </w:rPr>
        <w:t xml:space="preserve"> y </w:t>
      </w:r>
      <w:r w:rsidR="00F26011" w:rsidRPr="00A57B1C">
        <w:rPr>
          <w:rFonts w:ascii="Book Antiqua" w:hAnsi="Book Antiqua"/>
        </w:rPr>
        <w:t>va en contra de</w:t>
      </w:r>
      <w:r w:rsidR="00B442CF">
        <w:rPr>
          <w:rFonts w:ascii="Book Antiqua" w:hAnsi="Book Antiqua"/>
        </w:rPr>
        <w:t>l interés institucional de equiparación de cargas de trabajo</w:t>
      </w:r>
      <w:r w:rsidR="00F26011" w:rsidRPr="00A57B1C">
        <w:rPr>
          <w:rFonts w:ascii="Book Antiqua" w:hAnsi="Book Antiqua"/>
        </w:rPr>
        <w:t>.</w:t>
      </w:r>
      <w:r w:rsidR="00F26011" w:rsidRPr="00A57B1C">
        <w:rPr>
          <w:rFonts w:ascii="Book Antiqua" w:hAnsi="Book Antiqua"/>
          <w:szCs w:val="24"/>
        </w:rPr>
        <w:t xml:space="preserve"> </w:t>
      </w:r>
    </w:p>
    <w:p w14:paraId="57B73196" w14:textId="3FBE780A" w:rsidR="0049461C" w:rsidRPr="001257F7" w:rsidRDefault="00085674" w:rsidP="009C259C">
      <w:pPr>
        <w:pStyle w:val="Prrafodelista"/>
        <w:numPr>
          <w:ilvl w:val="0"/>
          <w:numId w:val="2"/>
        </w:numPr>
        <w:spacing w:line="276" w:lineRule="auto"/>
        <w:jc w:val="both"/>
        <w:rPr>
          <w:rFonts w:ascii="Book Antiqua" w:hAnsi="Book Antiqua"/>
        </w:rPr>
      </w:pPr>
      <w:r w:rsidRPr="00497162">
        <w:rPr>
          <w:rFonts w:ascii="Book Antiqua" w:hAnsi="Book Antiqua"/>
        </w:rPr>
        <w:t>L</w:t>
      </w:r>
      <w:r w:rsidR="0049461C" w:rsidRPr="009F0074">
        <w:rPr>
          <w:rFonts w:ascii="Book Antiqua" w:hAnsi="Book Antiqua"/>
        </w:rPr>
        <w:t>a</w:t>
      </w:r>
      <w:r w:rsidRPr="00E6689E">
        <w:rPr>
          <w:rFonts w:ascii="Book Antiqua" w:hAnsi="Book Antiqua"/>
        </w:rPr>
        <w:t xml:space="preserve"> definición de</w:t>
      </w:r>
      <w:r w:rsidR="0049461C" w:rsidRPr="009F0074">
        <w:rPr>
          <w:rFonts w:ascii="Book Antiqua" w:hAnsi="Book Antiqua"/>
        </w:rPr>
        <w:t xml:space="preserve"> cuota por tipo de proceso, en este caso no es viable debido a  la variabilidad en la cantidad de asuntos que ingresan </w:t>
      </w:r>
      <w:r w:rsidR="004F7D1A">
        <w:rPr>
          <w:rFonts w:ascii="Book Antiqua" w:hAnsi="Book Antiqua"/>
        </w:rPr>
        <w:t>por cada una de las</w:t>
      </w:r>
      <w:r w:rsidR="0049461C" w:rsidRPr="009F0074">
        <w:rPr>
          <w:rFonts w:ascii="Book Antiqua" w:hAnsi="Book Antiqua"/>
        </w:rPr>
        <w:t xml:space="preserve"> zona</w:t>
      </w:r>
      <w:r w:rsidR="004F7D1A">
        <w:rPr>
          <w:rFonts w:ascii="Book Antiqua" w:hAnsi="Book Antiqua"/>
        </w:rPr>
        <w:t>s</w:t>
      </w:r>
      <w:r w:rsidR="0049461C" w:rsidRPr="009F0074">
        <w:rPr>
          <w:rFonts w:ascii="Book Antiqua" w:hAnsi="Book Antiqua"/>
        </w:rPr>
        <w:t xml:space="preserve"> geográfica, el análisis de los asuntos entrados por materia se puede observar en el punto 3.1.1 y 3.1.2 en el que se detalla el histórico y se logra observar la diferencia, en este caso la Dirección de Planificación define una </w:t>
      </w:r>
      <w:r w:rsidR="001257F7">
        <w:rPr>
          <w:rFonts w:ascii="Book Antiqua" w:hAnsi="Book Antiqua"/>
        </w:rPr>
        <w:t xml:space="preserve">distribución de la </w:t>
      </w:r>
      <w:r w:rsidR="0049461C" w:rsidRPr="009F0074">
        <w:rPr>
          <w:rFonts w:ascii="Book Antiqua" w:hAnsi="Book Antiqua"/>
        </w:rPr>
        <w:t xml:space="preserve">cuota de trabajo por materia civil y laboral con base a la cantidad de entrados </w:t>
      </w:r>
      <w:r w:rsidR="004F7D1A" w:rsidRPr="009F0074">
        <w:rPr>
          <w:rFonts w:ascii="Book Antiqua" w:hAnsi="Book Antiqua"/>
        </w:rPr>
        <w:t xml:space="preserve">por materia </w:t>
      </w:r>
      <w:r w:rsidR="0049461C" w:rsidRPr="009F0074">
        <w:rPr>
          <w:rFonts w:ascii="Book Antiqua" w:hAnsi="Book Antiqua"/>
        </w:rPr>
        <w:t>en cada</w:t>
      </w:r>
      <w:r w:rsidR="004F7D1A">
        <w:rPr>
          <w:rFonts w:ascii="Book Antiqua" w:hAnsi="Book Antiqua"/>
        </w:rPr>
        <w:t xml:space="preserve"> despacho</w:t>
      </w:r>
      <w:r w:rsidR="0049461C" w:rsidRPr="009F0074">
        <w:rPr>
          <w:rFonts w:ascii="Book Antiqua" w:hAnsi="Book Antiqua"/>
        </w:rPr>
        <w:t>.</w:t>
      </w:r>
    </w:p>
    <w:p w14:paraId="729B1B17" w14:textId="0D4E6F7E" w:rsidR="00483B0E" w:rsidRPr="00C370CD" w:rsidRDefault="00085674" w:rsidP="009C259C">
      <w:pPr>
        <w:pStyle w:val="Prrafodelista"/>
        <w:numPr>
          <w:ilvl w:val="0"/>
          <w:numId w:val="2"/>
        </w:numPr>
        <w:spacing w:line="276" w:lineRule="auto"/>
        <w:jc w:val="both"/>
        <w:rPr>
          <w:rFonts w:ascii="Book Antiqua" w:hAnsi="Book Antiqua"/>
        </w:rPr>
      </w:pPr>
      <w:r w:rsidRPr="00DF080C">
        <w:rPr>
          <w:rFonts w:ascii="Book Antiqua" w:hAnsi="Book Antiqua"/>
        </w:rPr>
        <w:t xml:space="preserve">Solo </w:t>
      </w:r>
      <w:r>
        <w:rPr>
          <w:rFonts w:ascii="Book Antiqua" w:hAnsi="Book Antiqua"/>
        </w:rPr>
        <w:t>dos</w:t>
      </w:r>
      <w:r w:rsidRPr="00DF080C">
        <w:rPr>
          <w:rFonts w:ascii="Book Antiqua" w:hAnsi="Book Antiqua"/>
        </w:rPr>
        <w:t xml:space="preserve"> </w:t>
      </w:r>
      <w:r>
        <w:rPr>
          <w:rFonts w:ascii="Book Antiqua" w:hAnsi="Book Antiqua"/>
        </w:rPr>
        <w:t>d</w:t>
      </w:r>
      <w:r w:rsidRPr="00DF080C">
        <w:rPr>
          <w:rFonts w:ascii="Book Antiqua" w:hAnsi="Book Antiqua"/>
        </w:rPr>
        <w:t xml:space="preserve">espachos cumplen el criterio de que la persona juzgadora coordinadora deba tener una cuota diferenciada, según circular 33-13 de la </w:t>
      </w:r>
      <w:r w:rsidRPr="00152FDE">
        <w:rPr>
          <w:rFonts w:ascii="Book Antiqua" w:hAnsi="Book Antiqua"/>
        </w:rPr>
        <w:t>Secretaría</w:t>
      </w:r>
      <w:r w:rsidRPr="00DF080C">
        <w:rPr>
          <w:rFonts w:ascii="Book Antiqua" w:hAnsi="Book Antiqua"/>
        </w:rPr>
        <w:t xml:space="preserve"> General de</w:t>
      </w:r>
      <w:r w:rsidRPr="00DB3CC3">
        <w:rPr>
          <w:rFonts w:ascii="Book Antiqua" w:hAnsi="Book Antiqua"/>
        </w:rPr>
        <w:t xml:space="preserve"> la Corte</w:t>
      </w:r>
      <w:r w:rsidR="00D017CF">
        <w:rPr>
          <w:rFonts w:ascii="Book Antiqua" w:hAnsi="Book Antiqua"/>
        </w:rPr>
        <w:t xml:space="preserve">, en el caso del </w:t>
      </w:r>
      <w:r w:rsidR="00D017CF" w:rsidRPr="000C5306">
        <w:rPr>
          <w:rFonts w:ascii="Book Antiqua" w:eastAsia="Times New Roman" w:hAnsi="Book Antiqua" w:cs="Times New Roman"/>
          <w:lang w:eastAsia="es-CR"/>
        </w:rPr>
        <w:t>Tribunal</w:t>
      </w:r>
      <w:r w:rsidR="00D017CF">
        <w:rPr>
          <w:rFonts w:ascii="Book Antiqua" w:eastAsia="Times New Roman" w:hAnsi="Book Antiqua" w:cs="Times New Roman"/>
          <w:lang w:eastAsia="es-CR"/>
        </w:rPr>
        <w:t xml:space="preserve"> </w:t>
      </w:r>
      <w:r w:rsidR="00D017CF" w:rsidRPr="003D214D">
        <w:rPr>
          <w:rFonts w:ascii="Book Antiqua" w:eastAsia="Times New Roman" w:hAnsi="Book Antiqua" w:cs="Times New Roman"/>
          <w:lang w:eastAsia="es-CR"/>
        </w:rPr>
        <w:t>de Apelación Civil y Trabajo</w:t>
      </w:r>
      <w:r w:rsidR="00D017CF">
        <w:rPr>
          <w:rFonts w:ascii="Book Antiqua" w:eastAsia="Times New Roman" w:hAnsi="Book Antiqua" w:cs="Times New Roman"/>
          <w:lang w:eastAsia="es-CR"/>
        </w:rPr>
        <w:t xml:space="preserve"> de la Zona Atlántica (Limón</w:t>
      </w:r>
      <w:r w:rsidR="00D017CF" w:rsidRPr="00535C15">
        <w:rPr>
          <w:rFonts w:ascii="Book Antiqua" w:eastAsia="Times New Roman" w:hAnsi="Book Antiqua" w:cs="Times New Roman"/>
          <w:lang w:eastAsia="es-CR"/>
        </w:rPr>
        <w:t xml:space="preserve">) </w:t>
      </w:r>
      <w:r w:rsidR="00187F33" w:rsidRPr="00535C15">
        <w:rPr>
          <w:rFonts w:ascii="Book Antiqua" w:hAnsi="Book Antiqua"/>
        </w:rPr>
        <w:t xml:space="preserve">no aplica rebajo en la cuota de la persona juzgadora coordinadora </w:t>
      </w:r>
      <w:r w:rsidR="00F16027" w:rsidRPr="00535C15">
        <w:rPr>
          <w:rFonts w:ascii="Book Antiqua" w:hAnsi="Book Antiqua"/>
        </w:rPr>
        <w:t xml:space="preserve">hasta enero 2022 en caso de que no se prorrogue el plan de trabajo vigente actualmente </w:t>
      </w:r>
      <w:r w:rsidR="00187F33" w:rsidRPr="00535C15">
        <w:rPr>
          <w:rFonts w:ascii="Book Antiqua" w:hAnsi="Book Antiqua"/>
        </w:rPr>
        <w:t>por</w:t>
      </w:r>
      <w:r w:rsidR="00F16027" w:rsidRPr="00535C15">
        <w:rPr>
          <w:rFonts w:ascii="Book Antiqua" w:hAnsi="Book Antiqua"/>
        </w:rPr>
        <w:t xml:space="preserve"> acuerdo de</w:t>
      </w:r>
      <w:r w:rsidR="00187F33" w:rsidRPr="00535C15">
        <w:rPr>
          <w:rFonts w:ascii="Book Antiqua" w:hAnsi="Book Antiqua"/>
        </w:rPr>
        <w:t xml:space="preserve"> la Corte Plena, en sesión N° 23-2021 celebrada el 07 de </w:t>
      </w:r>
      <w:r w:rsidR="00187F33" w:rsidRPr="003A6481">
        <w:rPr>
          <w:rFonts w:ascii="Book Antiqua" w:hAnsi="Book Antiqua"/>
          <w:color w:val="000000" w:themeColor="text1"/>
        </w:rPr>
        <w:t>junio del 2021, artículo XXI, en la cual se conoció el informe 472-PLA-MI-2021 relacionado con relacionado con los nombramientos de Jueces 5 en materia Laboral y Civil</w:t>
      </w:r>
      <w:r w:rsidRPr="00C370CD">
        <w:rPr>
          <w:rFonts w:ascii="Book Antiqua" w:hAnsi="Book Antiqua"/>
        </w:rPr>
        <w:t>.</w:t>
      </w:r>
    </w:p>
    <w:p w14:paraId="415AA524" w14:textId="653EE70B" w:rsidR="00483B0E" w:rsidRPr="00546069" w:rsidRDefault="00505F02" w:rsidP="009C259C">
      <w:pPr>
        <w:pStyle w:val="Prrafodelista"/>
        <w:numPr>
          <w:ilvl w:val="0"/>
          <w:numId w:val="2"/>
        </w:numPr>
        <w:spacing w:line="276" w:lineRule="auto"/>
        <w:jc w:val="both"/>
        <w:rPr>
          <w:rFonts w:ascii="Book Antiqua" w:hAnsi="Book Antiqua"/>
          <w:b/>
          <w:iCs/>
          <w:sz w:val="20"/>
        </w:rPr>
      </w:pPr>
      <w:r w:rsidRPr="00EF393D">
        <w:rPr>
          <w:rFonts w:ascii="Book Antiqua" w:hAnsi="Book Antiqua"/>
        </w:rPr>
        <w:t>Se estima conveniente que</w:t>
      </w:r>
      <w:r w:rsidR="00085674" w:rsidRPr="00EF393D">
        <w:rPr>
          <w:rFonts w:ascii="Book Antiqua" w:hAnsi="Book Antiqua"/>
        </w:rPr>
        <w:t xml:space="preserve"> la persona juzgadora coordinadora del Tribunal de Apelación Civil y Trabajo </w:t>
      </w:r>
      <w:r w:rsidR="004233CD" w:rsidRPr="00EF393D">
        <w:rPr>
          <w:rFonts w:ascii="Book Antiqua" w:eastAsia="Times New Roman" w:hAnsi="Book Antiqua" w:cs="Times New Roman"/>
          <w:lang w:eastAsia="es-CR"/>
        </w:rPr>
        <w:t>de Alajuela</w:t>
      </w:r>
      <w:r w:rsidR="00F16027">
        <w:rPr>
          <w:rFonts w:ascii="Book Antiqua" w:eastAsia="Times New Roman" w:hAnsi="Book Antiqua" w:cs="Times New Roman"/>
          <w:lang w:eastAsia="es-CR"/>
        </w:rPr>
        <w:t xml:space="preserve"> goce de</w:t>
      </w:r>
      <w:r w:rsidR="00085674" w:rsidRPr="00EF393D">
        <w:rPr>
          <w:rFonts w:ascii="Book Antiqua" w:hAnsi="Book Antiqua"/>
        </w:rPr>
        <w:t xml:space="preserve"> una reducción del 25% de</w:t>
      </w:r>
      <w:r w:rsidR="00F16027">
        <w:rPr>
          <w:rFonts w:ascii="Book Antiqua" w:hAnsi="Book Antiqua"/>
        </w:rPr>
        <w:t xml:space="preserve"> su cuota de trabajo, considerando la cuota estándar vigente de </w:t>
      </w:r>
      <w:r w:rsidR="00085674" w:rsidRPr="00EF393D">
        <w:rPr>
          <w:rFonts w:ascii="Book Antiqua" w:hAnsi="Book Antiqua"/>
        </w:rPr>
        <w:t>por persona juzgadora de 17 sentencias, lo cual representa a 13 sentencias mensuales mínimos</w:t>
      </w:r>
      <w:r w:rsidRPr="00EF393D">
        <w:rPr>
          <w:rFonts w:ascii="Book Antiqua" w:hAnsi="Book Antiqua"/>
        </w:rPr>
        <w:t>, lo anterior al valorar la carga administrativ</w:t>
      </w:r>
      <w:r w:rsidR="00A15159" w:rsidRPr="00EF393D">
        <w:rPr>
          <w:rFonts w:ascii="Book Antiqua" w:hAnsi="Book Antiqua"/>
        </w:rPr>
        <w:t>a, lo que incluye las funciones realizadas por motivo de la implementación del modelo de evaluación de desempeño que se promueve en el Poder Judicial</w:t>
      </w:r>
      <w:r w:rsidR="00483B0E" w:rsidRPr="00546069">
        <w:rPr>
          <w:rFonts w:ascii="Book Antiqua" w:hAnsi="Book Antiqua"/>
        </w:rPr>
        <w:t>.</w:t>
      </w:r>
      <w:r w:rsidR="00483B0E" w:rsidRPr="00546069">
        <w:rPr>
          <w:rFonts w:ascii="Book Antiqua" w:hAnsi="Book Antiqua"/>
          <w:b/>
          <w:iCs/>
          <w:sz w:val="20"/>
        </w:rPr>
        <w:t xml:space="preserve"> </w:t>
      </w:r>
    </w:p>
    <w:p w14:paraId="10D0BA6E" w14:textId="17D1F055" w:rsidR="008C5243" w:rsidRPr="00F26011" w:rsidRDefault="00995087" w:rsidP="009C259C">
      <w:pPr>
        <w:pStyle w:val="Prrafodelista"/>
        <w:numPr>
          <w:ilvl w:val="0"/>
          <w:numId w:val="2"/>
        </w:numPr>
        <w:jc w:val="both"/>
        <w:rPr>
          <w:rFonts w:ascii="Book Antiqua" w:hAnsi="Book Antiqua"/>
        </w:rPr>
      </w:pPr>
      <w:r>
        <w:rPr>
          <w:rFonts w:ascii="Book Antiqua" w:hAnsi="Book Antiqua"/>
        </w:rPr>
        <w:t>M</w:t>
      </w:r>
      <w:r w:rsidR="008C5243">
        <w:rPr>
          <w:rFonts w:ascii="Book Antiqua" w:hAnsi="Book Antiqua"/>
        </w:rPr>
        <w:t xml:space="preserve">ediante estudios de la Dirección de Planificación </w:t>
      </w:r>
      <w:r w:rsidR="008C5243" w:rsidRPr="00442246">
        <w:rPr>
          <w:rFonts w:ascii="Book Antiqua" w:hAnsi="Book Antiqua"/>
        </w:rPr>
        <w:t xml:space="preserve">1163-PLA-2017 </w:t>
      </w:r>
      <w:r w:rsidR="008C5243">
        <w:rPr>
          <w:rFonts w:ascii="Book Antiqua" w:hAnsi="Book Antiqua"/>
        </w:rPr>
        <w:t xml:space="preserve">y 1127-PLA-2017 </w:t>
      </w:r>
      <w:r w:rsidR="00B442CF">
        <w:rPr>
          <w:rFonts w:ascii="Book Antiqua" w:hAnsi="Book Antiqua"/>
        </w:rPr>
        <w:t xml:space="preserve">y desde la creación de los actuales Tribunales de Apelación Civil y de </w:t>
      </w:r>
      <w:r w:rsidR="00483B0E">
        <w:rPr>
          <w:rFonts w:ascii="Book Antiqua" w:hAnsi="Book Antiqua"/>
        </w:rPr>
        <w:t>Trabajo, no</w:t>
      </w:r>
      <w:r w:rsidR="008C5243" w:rsidRPr="0014141F">
        <w:rPr>
          <w:rFonts w:ascii="Book Antiqua" w:hAnsi="Book Antiqua"/>
        </w:rPr>
        <w:t xml:space="preserve"> se </w:t>
      </w:r>
      <w:r w:rsidR="008C5243">
        <w:rPr>
          <w:rFonts w:ascii="Book Antiqua" w:hAnsi="Book Antiqua"/>
        </w:rPr>
        <w:t xml:space="preserve">determinó </w:t>
      </w:r>
      <w:r w:rsidR="008C5243" w:rsidRPr="0014141F">
        <w:rPr>
          <w:rFonts w:ascii="Book Antiqua" w:hAnsi="Book Antiqua"/>
        </w:rPr>
        <w:t xml:space="preserve">la necesidad de </w:t>
      </w:r>
      <w:r w:rsidR="00A15159" w:rsidRPr="0014141F">
        <w:rPr>
          <w:rFonts w:ascii="Book Antiqua" w:hAnsi="Book Antiqua"/>
        </w:rPr>
        <w:t>asignación</w:t>
      </w:r>
      <w:r w:rsidR="008C5243" w:rsidRPr="0014141F">
        <w:rPr>
          <w:rFonts w:ascii="Book Antiqua" w:hAnsi="Book Antiqua"/>
        </w:rPr>
        <w:t xml:space="preserve"> de</w:t>
      </w:r>
      <w:r w:rsidR="008C5243">
        <w:rPr>
          <w:rFonts w:ascii="Book Antiqua" w:hAnsi="Book Antiqua"/>
        </w:rPr>
        <w:t xml:space="preserve"> una</w:t>
      </w:r>
      <w:r w:rsidR="008C5243" w:rsidRPr="0014141F">
        <w:rPr>
          <w:rFonts w:ascii="Book Antiqua" w:hAnsi="Book Antiqua"/>
        </w:rPr>
        <w:t xml:space="preserve"> plaza de persona juzgadora</w:t>
      </w:r>
      <w:r w:rsidR="008C5243">
        <w:rPr>
          <w:rFonts w:ascii="Book Antiqua" w:hAnsi="Book Antiqua"/>
        </w:rPr>
        <w:t xml:space="preserve"> en categoría 1</w:t>
      </w:r>
      <w:r w:rsidR="008C5243" w:rsidRPr="0014141F">
        <w:rPr>
          <w:rFonts w:ascii="Book Antiqua" w:hAnsi="Book Antiqua"/>
        </w:rPr>
        <w:t xml:space="preserve"> </w:t>
      </w:r>
      <w:r w:rsidR="008C5243">
        <w:rPr>
          <w:rFonts w:ascii="Book Antiqua" w:hAnsi="Book Antiqua"/>
        </w:rPr>
        <w:t xml:space="preserve">(Juez o Jueza </w:t>
      </w:r>
      <w:r w:rsidR="008C5243" w:rsidRPr="0014141F">
        <w:rPr>
          <w:rFonts w:ascii="Book Antiqua" w:hAnsi="Book Antiqua"/>
        </w:rPr>
        <w:t>tramitador</w:t>
      </w:r>
      <w:r w:rsidR="008C5243">
        <w:rPr>
          <w:rFonts w:ascii="Book Antiqua" w:hAnsi="Book Antiqua"/>
        </w:rPr>
        <w:t>)</w:t>
      </w:r>
      <w:r w:rsidR="00B442CF">
        <w:rPr>
          <w:rFonts w:ascii="Book Antiqua" w:hAnsi="Book Antiqua"/>
        </w:rPr>
        <w:t xml:space="preserve"> </w:t>
      </w:r>
      <w:r w:rsidR="008C5243" w:rsidRPr="0014141F">
        <w:rPr>
          <w:rFonts w:ascii="Book Antiqua" w:hAnsi="Book Antiqua"/>
        </w:rPr>
        <w:t xml:space="preserve">para </w:t>
      </w:r>
      <w:r w:rsidR="00B442CF">
        <w:rPr>
          <w:rFonts w:ascii="Book Antiqua" w:hAnsi="Book Antiqua"/>
        </w:rPr>
        <w:t>ninguno de los Tribunales en materia Civil y de Trabajo.  Las únicas oficinas que mantienen esa figura son los tribunales especializados de San José. En el caso d</w:t>
      </w:r>
      <w:r w:rsidR="008C5243" w:rsidRPr="0014141F">
        <w:rPr>
          <w:rFonts w:ascii="Book Antiqua" w:hAnsi="Book Antiqua"/>
        </w:rPr>
        <w:t xml:space="preserve">el </w:t>
      </w:r>
      <w:r w:rsidR="008C5243" w:rsidRPr="00442246">
        <w:rPr>
          <w:rFonts w:ascii="Book Antiqua" w:hAnsi="Book Antiqua"/>
        </w:rPr>
        <w:t>Tribunal de Apelaciones Civil y Trabajo de Guanacaste</w:t>
      </w:r>
      <w:r w:rsidR="00B442CF">
        <w:rPr>
          <w:rFonts w:ascii="Book Antiqua" w:hAnsi="Book Antiqua"/>
        </w:rPr>
        <w:t xml:space="preserve"> tampoco se requiere la figura máxime que el tribunal cuenta con la estructura mínima de personal para este tipo de Tribunal</w:t>
      </w:r>
      <w:r w:rsidR="008C5243" w:rsidRPr="00E6689E">
        <w:rPr>
          <w:rFonts w:ascii="Book Antiqua" w:hAnsi="Book Antiqua"/>
        </w:rPr>
        <w:t xml:space="preserve">; </w:t>
      </w:r>
      <w:r w:rsidR="00A15159">
        <w:rPr>
          <w:rFonts w:ascii="Book Antiqua" w:hAnsi="Book Antiqua"/>
        </w:rPr>
        <w:t>a</w:t>
      </w:r>
      <w:r w:rsidR="008C5243" w:rsidRPr="00F26011">
        <w:rPr>
          <w:rFonts w:ascii="Book Antiqua" w:hAnsi="Book Antiqua"/>
        </w:rPr>
        <w:t xml:space="preserve">simismo, </w:t>
      </w:r>
      <w:r w:rsidR="008C5243" w:rsidRPr="008C5243">
        <w:rPr>
          <w:rFonts w:ascii="Book Antiqua" w:hAnsi="Book Antiqua"/>
        </w:rPr>
        <w:t xml:space="preserve">según disposición de Corte Plena de las sesiones 27-2017 de 21 de agosto de 2017, artículo XVI, 28-2017 de 28 de agosto de 2017, artículo XV y 29-2017 de 4 setiembre de 2017, artículo XVI, en la que se aprobaron las medidas de contención del gasto en el Poder Judicial (circular 136-2017) y directrices giradas a la Dirección de Planificación, de potenciar la reorganización, tendientes a la implementación de modelos eficientes, en este momento no es viable la posibilidad de asignar recurso humano nuevo </w:t>
      </w:r>
      <w:r w:rsidR="00AD5C58">
        <w:rPr>
          <w:rFonts w:ascii="Book Antiqua" w:hAnsi="Book Antiqua"/>
        </w:rPr>
        <w:t>al</w:t>
      </w:r>
      <w:r w:rsidR="00AD5C58">
        <w:rPr>
          <w:rFonts w:ascii="Book Antiqua" w:hAnsi="Book Antiqua"/>
          <w:color w:val="000000"/>
        </w:rPr>
        <w:t xml:space="preserve"> Tribunal de Apelaciones Civil y Laboral de Guanacaste</w:t>
      </w:r>
      <w:r w:rsidR="008C5243" w:rsidRPr="008C5243">
        <w:rPr>
          <w:rFonts w:ascii="Book Antiqua" w:hAnsi="Book Antiqua"/>
        </w:rPr>
        <w:t xml:space="preserve">.  </w:t>
      </w:r>
    </w:p>
    <w:p w14:paraId="45998EE9" w14:textId="6A26AE43" w:rsidR="008C5243" w:rsidRPr="00A57B1C" w:rsidRDefault="008C5243" w:rsidP="009C259C">
      <w:pPr>
        <w:pStyle w:val="Prrafodelista"/>
        <w:numPr>
          <w:ilvl w:val="0"/>
          <w:numId w:val="2"/>
        </w:numPr>
        <w:spacing w:line="276" w:lineRule="auto"/>
        <w:jc w:val="both"/>
        <w:rPr>
          <w:rFonts w:ascii="Book Antiqua" w:hAnsi="Book Antiqua"/>
        </w:rPr>
      </w:pPr>
      <w:r w:rsidRPr="00A57B1C">
        <w:rPr>
          <w:rFonts w:ascii="Book Antiqua" w:hAnsi="Book Antiqua"/>
        </w:rPr>
        <w:t>El estudio de cargas de trabajo de las personas técnicas judiciales se realizará conforme a la propuesta de cronograma realizada por la Dirección de Planificación en la que se atienden los requerimientos realizados por el equipo Gestor de la Jurisdicción Civil.</w:t>
      </w:r>
    </w:p>
    <w:p w14:paraId="40D56484" w14:textId="2C83B301" w:rsidR="008C5243" w:rsidRPr="00333846" w:rsidRDefault="00805EE6" w:rsidP="009C259C">
      <w:pPr>
        <w:pStyle w:val="Prrafodelista"/>
        <w:numPr>
          <w:ilvl w:val="0"/>
          <w:numId w:val="2"/>
        </w:numPr>
        <w:jc w:val="both"/>
        <w:rPr>
          <w:rFonts w:ascii="Book Antiqua" w:hAnsi="Book Antiqua"/>
          <w:bCs/>
        </w:rPr>
      </w:pPr>
      <w:r>
        <w:rPr>
          <w:rFonts w:ascii="Book Antiqua" w:hAnsi="Book Antiqua"/>
        </w:rPr>
        <w:t xml:space="preserve">Asignar recurso adicional a las Tribunales de estructura mínima, replicando </w:t>
      </w:r>
      <w:r w:rsidR="008C5243" w:rsidRPr="008C5243">
        <w:rPr>
          <w:rFonts w:ascii="Book Antiqua" w:hAnsi="Book Antiqua"/>
        </w:rPr>
        <w:t xml:space="preserve">la estructura organizativa </w:t>
      </w:r>
      <w:r w:rsidR="008C5243" w:rsidRPr="00333846">
        <w:rPr>
          <w:rFonts w:ascii="Book Antiqua" w:hAnsi="Book Antiqua"/>
          <w:bCs/>
        </w:rPr>
        <w:t xml:space="preserve">actual del Tribunal de Apelaciones Civil y Trabajo de la Zona Atlántica, sede Limón, en otros Tribunales de Apelación regionalizados, no es viable debido a que la carga de trabajo no la justificaría y el efecto sería capacidad operativa ociosa. </w:t>
      </w:r>
      <w:r>
        <w:rPr>
          <w:rFonts w:ascii="Book Antiqua" w:hAnsi="Book Antiqua"/>
          <w:bCs/>
        </w:rPr>
        <w:t xml:space="preserve">En su lugar, el CACMFJ se dispone de recurso de apoyo para descongestionamiento de la segunda instancia tanto en materia Civil como de Trabajo e incluso atención de inhibitorias. </w:t>
      </w:r>
    </w:p>
    <w:p w14:paraId="5B104AAE" w14:textId="77777777" w:rsidR="00B979AE" w:rsidRPr="00410ED4" w:rsidRDefault="00B979AE" w:rsidP="00B979AE">
      <w:pPr>
        <w:spacing w:line="276" w:lineRule="auto"/>
        <w:jc w:val="both"/>
        <w:rPr>
          <w:rFonts w:ascii="Book Antiqua" w:hAnsi="Book Antiqua"/>
        </w:rPr>
      </w:pPr>
    </w:p>
    <w:p w14:paraId="78664030" w14:textId="60B22AED" w:rsidR="00DB37B6" w:rsidRPr="00410ED4" w:rsidRDefault="00DB37B6" w:rsidP="00EB031E">
      <w:pPr>
        <w:pStyle w:val="Ttulo2"/>
      </w:pPr>
      <w:r>
        <w:t xml:space="preserve">Atención de observaciones </w:t>
      </w:r>
    </w:p>
    <w:p w14:paraId="36241415" w14:textId="77777777" w:rsidR="00DB37B6" w:rsidRPr="00EB031E" w:rsidRDefault="00DB37B6" w:rsidP="00DB37B6">
      <w:pPr>
        <w:pStyle w:val="Textoindependiente2"/>
        <w:spacing w:after="0" w:line="276" w:lineRule="auto"/>
        <w:jc w:val="both"/>
        <w:rPr>
          <w:rFonts w:ascii="Book Antiqua" w:hAnsi="Book Antiqua" w:cs="Arial"/>
          <w:lang w:val="es-ES"/>
        </w:rPr>
      </w:pPr>
      <w:r w:rsidRPr="00EB031E">
        <w:rPr>
          <w:rFonts w:ascii="Book Antiqua" w:hAnsi="Book Antiqua" w:cs="Arial"/>
          <w:lang w:val="es-ES"/>
        </w:rPr>
        <w:t>El presente informe fue remitido en consulta mediante oficio 708-PLA-MI-2021 remitido por correo electrónico el 25 de junio 2021, (</w:t>
      </w:r>
      <w:r w:rsidRPr="00EB031E">
        <w:rPr>
          <w:rFonts w:ascii="Book Antiqua" w:hAnsi="Book Antiqua" w:cs="Arial"/>
          <w:i/>
          <w:iCs/>
          <w:lang w:val="es-ES"/>
        </w:rPr>
        <w:t>ver anexo 14</w:t>
      </w:r>
      <w:r w:rsidRPr="00EB031E">
        <w:rPr>
          <w:rFonts w:ascii="Book Antiqua" w:hAnsi="Book Antiqua" w:cs="Arial"/>
          <w:lang w:val="es-ES"/>
        </w:rPr>
        <w:t xml:space="preserve">) a los involucrados siendo: Comisión de Jurisdicción Civil, Comisión de Jurisdicción Laboral, Tribunal de Apelación Civil y Trabajo de Pérez Zeledón, Tribunal de Apelación Civil y Trabajo de Alajuela, Tribunal de Apelación Civil y Trabajo de Cartago, Tribunal de Apelación Civil y Trabajo de Heredia, Tribunal de Apelación Civil y Trabajo de Liberia, Tribunal de Apelación Civil y Trabajo de Puntarenas, Tribunal de Apelación Civil y Trabajo de Limón, </w:t>
      </w:r>
      <w:r w:rsidRPr="00EB031E">
        <w:rPr>
          <w:rFonts w:ascii="Book Antiqua" w:hAnsi="Book Antiqua" w:cs="Book Antiqua"/>
        </w:rPr>
        <w:t xml:space="preserve">mediante copia también se le solicita criterio al Centro de Apoyo, Coordinación y Mejoramiento de la Función Jurisdiccional y a los Gestores de las materias Civil y Laboral, </w:t>
      </w:r>
      <w:r w:rsidRPr="00EB031E">
        <w:rPr>
          <w:rFonts w:ascii="Book Antiqua" w:hAnsi="Book Antiqua" w:cs="Arial"/>
          <w:lang w:val="es-ES"/>
        </w:rPr>
        <w:t>en dicho oficio se concedió el plazo de 5 días naturales a partir de la fecha de recepción.</w:t>
      </w:r>
    </w:p>
    <w:p w14:paraId="5F6D54F2" w14:textId="77777777" w:rsidR="00DB37B6" w:rsidRPr="005F2BED" w:rsidRDefault="00DB37B6" w:rsidP="00DB37B6">
      <w:pPr>
        <w:jc w:val="both"/>
      </w:pPr>
      <w:r w:rsidRPr="00EB031E">
        <w:rPr>
          <w:rFonts w:ascii="Book Antiqua" w:hAnsi="Book Antiqua" w:cs="Arial"/>
          <w:lang w:val="es-ES"/>
        </w:rPr>
        <w:t xml:space="preserve">Mediante correo electrónico remitido el  2 de julio de 2021por parte de la señora Flor Brenes Hernández Secretaria Ejecutiva del </w:t>
      </w:r>
      <w:r w:rsidRPr="00EB031E">
        <w:rPr>
          <w:rFonts w:ascii="Book Antiqua" w:hAnsi="Book Antiqua" w:cs="Book Antiqua"/>
        </w:rPr>
        <w:t>Centro de Apoyo, Coordinación y Mejoramiento de la Función Jurisdiccional (ver anexo</w:t>
      </w:r>
      <w:r w:rsidRPr="00EB031E">
        <w:rPr>
          <w:rFonts w:ascii="Book Antiqua" w:hAnsi="Book Antiqua" w:cs="Arial"/>
          <w:lang w:val="es-ES"/>
        </w:rPr>
        <w:t>, se indicó: “</w:t>
      </w:r>
      <w:r w:rsidRPr="00EB031E">
        <w:rPr>
          <w:rFonts w:ascii="Book Antiqua" w:hAnsi="Book Antiqua" w:cs="Book Antiqua"/>
          <w:i/>
          <w:iCs/>
        </w:rPr>
        <w:t xml:space="preserve">Con instrucciones de la máster Maricruz Chacón Cubillo, Directora del Centro de Apoyo, Coordinación y Mejoramiento de la Función Jurisdiccional, me permito solicitar plazo al 7 de julio en curso para remitir las observaciones al informe 708-PLA-2021.”, </w:t>
      </w:r>
      <w:r w:rsidRPr="00EB031E">
        <w:rPr>
          <w:rFonts w:ascii="Book Antiqua" w:hAnsi="Book Antiqua" w:cs="Book Antiqua"/>
        </w:rPr>
        <w:t xml:space="preserve">por parte de la Dirección de Planificación se concedió el plazo solicitado </w:t>
      </w:r>
      <w:r w:rsidRPr="00EB031E">
        <w:rPr>
          <w:rFonts w:ascii="Book Antiqua" w:hAnsi="Book Antiqua" w:cs="Book Antiqua"/>
          <w:i/>
          <w:iCs/>
        </w:rPr>
        <w:t>(Se adjunta correo electrónico en anexo 15).</w:t>
      </w:r>
      <w:r w:rsidRPr="00EB031E">
        <w:rPr>
          <w:rFonts w:ascii="Book Antiqua" w:hAnsi="Book Antiqua" w:cs="Book Antiqua"/>
        </w:rPr>
        <w:t xml:space="preserve"> </w:t>
      </w:r>
    </w:p>
    <w:p w14:paraId="1B06E2CA" w14:textId="5DD9FC05" w:rsidR="00DB37B6" w:rsidRPr="00EB031E" w:rsidRDefault="00DB37B6" w:rsidP="00DB37B6">
      <w:pPr>
        <w:autoSpaceDE w:val="0"/>
        <w:autoSpaceDN w:val="0"/>
        <w:adjustRightInd w:val="0"/>
        <w:spacing w:line="276" w:lineRule="auto"/>
        <w:jc w:val="both"/>
        <w:rPr>
          <w:rFonts w:ascii="Book Antiqua" w:hAnsi="Book Antiqua" w:cs="Book Antiqua"/>
        </w:rPr>
      </w:pPr>
      <w:r w:rsidRPr="00EB031E">
        <w:rPr>
          <w:rFonts w:ascii="Book Antiqua" w:hAnsi="Book Antiqua" w:cs="Book Antiqua"/>
        </w:rPr>
        <w:t>Como respuesta se recibieron los oficios N°43-CJL-2021 del 2 de julio de 2021 remitido por el Magistrado Orlando Aguirre Gómez Coordinador de la Comisión de la Jurisdicción Laboral, el correo electrónico remitido el 02 de julio 2021 por parte del licenciado Guillermo Guilá Alvarado, Juez Coordinador del Tribunal de Apelaciones Civil y Laboral del I, II y III Circuito Judicial de Alajuela, el oficio remitido por medio de correo electrónico el 01 de julio de 2021, por parte del Msc. Oscar Enrique Cruz Conejo, Juez Coordinador, Tribunal de Apelación Civil y Laboral de Cartago y el oficio 215-CACMFJ-JEF-2021 remitido por el Centro de Apoyo, Coordinación y Mejoramiento de la Función Jurisdiccional, en el siguiente cuadro se detalla la observación presentada y el criterio de la Dirección de Planificación</w:t>
      </w:r>
      <w:r w:rsidR="00535C15">
        <w:rPr>
          <w:rFonts w:ascii="Book Antiqua" w:hAnsi="Book Antiqua" w:cs="Book Antiqua"/>
        </w:rPr>
        <w:t>:</w:t>
      </w:r>
    </w:p>
    <w:p w14:paraId="72372511" w14:textId="77777777" w:rsidR="00DB37B6" w:rsidRDefault="00DB37B6" w:rsidP="00DB37B6">
      <w:pPr>
        <w:jc w:val="both"/>
        <w:rPr>
          <w:rFonts w:ascii="Book Antiqua" w:hAnsi="Book Antiqua"/>
        </w:rPr>
      </w:pPr>
    </w:p>
    <w:tbl>
      <w:tblPr>
        <w:tblStyle w:val="Tablaconcuadrcula"/>
        <w:tblW w:w="10539" w:type="dxa"/>
        <w:tblInd w:w="-71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27"/>
        <w:gridCol w:w="6996"/>
        <w:gridCol w:w="3016"/>
      </w:tblGrid>
      <w:tr w:rsidR="00DB37B6" w:rsidRPr="00412A1D" w14:paraId="4992E60C" w14:textId="77777777" w:rsidTr="00EB031E">
        <w:trPr>
          <w:trHeight w:val="645"/>
        </w:trPr>
        <w:tc>
          <w:tcPr>
            <w:tcW w:w="10539" w:type="dxa"/>
            <w:gridSpan w:val="3"/>
            <w:shd w:val="clear" w:color="auto" w:fill="EAF1DD" w:themeFill="accent3" w:themeFillTint="33"/>
            <w:vAlign w:val="center"/>
          </w:tcPr>
          <w:p w14:paraId="4895E28E" w14:textId="77777777" w:rsidR="00DB37B6" w:rsidRPr="00601E87" w:rsidRDefault="00DB37B6" w:rsidP="00EB031E">
            <w:pPr>
              <w:ind w:right="-427"/>
              <w:jc w:val="center"/>
              <w:rPr>
                <w:rFonts w:ascii="Book Antiqua" w:hAnsi="Book Antiqua" w:cs="Book Antiqua"/>
                <w:b/>
                <w:bCs/>
                <w:lang w:eastAsia="es-CR"/>
              </w:rPr>
            </w:pPr>
            <w:r w:rsidRPr="00601E87">
              <w:rPr>
                <w:rFonts w:ascii="Book Antiqua" w:hAnsi="Book Antiqua" w:cs="Book Antiqua"/>
                <w:b/>
                <w:bCs/>
                <w:lang w:eastAsia="es-CR"/>
              </w:rPr>
              <w:t>Oficio N°43-CJL-2021</w:t>
            </w:r>
          </w:p>
          <w:p w14:paraId="39213249" w14:textId="77777777" w:rsidR="00DB37B6" w:rsidRPr="00601E87" w:rsidRDefault="00DB37B6" w:rsidP="00EB031E">
            <w:pPr>
              <w:ind w:right="-427"/>
              <w:jc w:val="center"/>
              <w:rPr>
                <w:rFonts w:ascii="Book Antiqua" w:hAnsi="Book Antiqua" w:cs="Calibri"/>
                <w:b/>
                <w:i/>
                <w:iCs/>
                <w:color w:val="000000"/>
                <w:lang w:val="es-ES"/>
              </w:rPr>
            </w:pPr>
            <w:r w:rsidRPr="00601E87">
              <w:rPr>
                <w:rFonts w:ascii="Book Antiqua" w:hAnsi="Book Antiqua" w:cs="Book Antiqua"/>
                <w:b/>
                <w:bCs/>
              </w:rPr>
              <w:t>Comisión de la Jurisdicción Laboral</w:t>
            </w:r>
          </w:p>
        </w:tc>
      </w:tr>
      <w:tr w:rsidR="00DB37B6" w:rsidRPr="00412A1D" w14:paraId="391E2268" w14:textId="77777777" w:rsidTr="00EB031E">
        <w:trPr>
          <w:trHeight w:val="322"/>
        </w:trPr>
        <w:tc>
          <w:tcPr>
            <w:tcW w:w="527" w:type="dxa"/>
            <w:shd w:val="clear" w:color="auto" w:fill="215868" w:themeFill="accent5" w:themeFillShade="80"/>
            <w:vAlign w:val="center"/>
          </w:tcPr>
          <w:p w14:paraId="239037CC" w14:textId="77777777" w:rsidR="00DB37B6" w:rsidRPr="00601E87" w:rsidRDefault="00DB37B6" w:rsidP="00EB031E">
            <w:pPr>
              <w:autoSpaceDE w:val="0"/>
              <w:autoSpaceDN w:val="0"/>
              <w:adjustRightInd w:val="0"/>
              <w:jc w:val="center"/>
              <w:rPr>
                <w:rFonts w:ascii="Book Antiqua" w:hAnsi="Book Antiqua" w:cs="Book Antiqua"/>
                <w:b/>
                <w:bCs/>
                <w:color w:val="FFFFFF" w:themeColor="background1"/>
                <w:lang w:eastAsia="es-CR"/>
              </w:rPr>
            </w:pPr>
            <w:r w:rsidRPr="00601E87">
              <w:rPr>
                <w:rFonts w:ascii="Book Antiqua" w:hAnsi="Book Antiqua" w:cs="Book Antiqua"/>
                <w:b/>
                <w:bCs/>
                <w:color w:val="FFFFFF" w:themeColor="background1"/>
                <w:lang w:eastAsia="es-CR"/>
              </w:rPr>
              <w:t>N°</w:t>
            </w:r>
          </w:p>
        </w:tc>
        <w:tc>
          <w:tcPr>
            <w:tcW w:w="6996" w:type="dxa"/>
            <w:shd w:val="clear" w:color="auto" w:fill="215868" w:themeFill="accent5" w:themeFillShade="80"/>
            <w:vAlign w:val="center"/>
          </w:tcPr>
          <w:p w14:paraId="6EB953FD" w14:textId="77777777" w:rsidR="00DB37B6" w:rsidRPr="00601E87" w:rsidRDefault="00DB37B6" w:rsidP="00EB031E">
            <w:pPr>
              <w:autoSpaceDE w:val="0"/>
              <w:autoSpaceDN w:val="0"/>
              <w:adjustRightInd w:val="0"/>
              <w:jc w:val="center"/>
              <w:rPr>
                <w:rFonts w:ascii="Book Antiqua" w:hAnsi="Book Antiqua" w:cs="Book Antiqua"/>
                <w:b/>
                <w:bCs/>
                <w:color w:val="FFFFFF" w:themeColor="background1"/>
                <w:lang w:eastAsia="es-CR"/>
              </w:rPr>
            </w:pPr>
            <w:r w:rsidRPr="00601E87">
              <w:rPr>
                <w:rFonts w:ascii="Book Antiqua" w:hAnsi="Book Antiqua" w:cs="Book Antiqua"/>
                <w:b/>
                <w:bCs/>
                <w:color w:val="FFFFFF" w:themeColor="background1"/>
                <w:lang w:eastAsia="es-CR"/>
              </w:rPr>
              <w:t>Observación</w:t>
            </w:r>
          </w:p>
        </w:tc>
        <w:tc>
          <w:tcPr>
            <w:tcW w:w="3016" w:type="dxa"/>
            <w:shd w:val="clear" w:color="auto" w:fill="215868" w:themeFill="accent5" w:themeFillShade="80"/>
            <w:vAlign w:val="center"/>
          </w:tcPr>
          <w:p w14:paraId="56D80AAB" w14:textId="77777777" w:rsidR="00DB37B6" w:rsidRPr="00601E87" w:rsidRDefault="00DB37B6" w:rsidP="00EB031E">
            <w:pPr>
              <w:autoSpaceDE w:val="0"/>
              <w:autoSpaceDN w:val="0"/>
              <w:adjustRightInd w:val="0"/>
              <w:jc w:val="center"/>
              <w:rPr>
                <w:rFonts w:ascii="Book Antiqua" w:hAnsi="Book Antiqua" w:cs="Book Antiqua"/>
                <w:b/>
                <w:bCs/>
                <w:color w:val="FFFFFF" w:themeColor="background1"/>
                <w:lang w:eastAsia="es-CR"/>
              </w:rPr>
            </w:pPr>
            <w:r w:rsidRPr="00601E87">
              <w:rPr>
                <w:rFonts w:ascii="Book Antiqua" w:hAnsi="Book Antiqua" w:cs="Book Antiqua"/>
                <w:b/>
                <w:bCs/>
                <w:color w:val="FFFFFF" w:themeColor="background1"/>
                <w:lang w:eastAsia="es-CR"/>
              </w:rPr>
              <w:t>Criterio de la Dirección de Planificación</w:t>
            </w:r>
          </w:p>
        </w:tc>
      </w:tr>
      <w:tr w:rsidR="00DB37B6" w:rsidRPr="00412A1D" w14:paraId="30ECDB07" w14:textId="77777777" w:rsidTr="00EB031E">
        <w:trPr>
          <w:trHeight w:val="322"/>
        </w:trPr>
        <w:tc>
          <w:tcPr>
            <w:tcW w:w="527" w:type="dxa"/>
            <w:vAlign w:val="center"/>
          </w:tcPr>
          <w:p w14:paraId="541AB2EB" w14:textId="77777777" w:rsidR="00DB37B6" w:rsidRPr="00601E87" w:rsidRDefault="00DB37B6" w:rsidP="00EB031E">
            <w:pPr>
              <w:autoSpaceDE w:val="0"/>
              <w:autoSpaceDN w:val="0"/>
              <w:adjustRightInd w:val="0"/>
              <w:jc w:val="both"/>
              <w:rPr>
                <w:rFonts w:ascii="Book Antiqua" w:hAnsi="Book Antiqua" w:cs="Book Antiqua"/>
                <w:b/>
                <w:bCs/>
                <w:color w:val="000000"/>
                <w:lang w:eastAsia="es-CR"/>
              </w:rPr>
            </w:pPr>
            <w:r w:rsidRPr="00601E87">
              <w:rPr>
                <w:rFonts w:ascii="Book Antiqua" w:hAnsi="Book Antiqua" w:cs="Book Antiqua"/>
                <w:b/>
                <w:bCs/>
                <w:color w:val="000000"/>
                <w:lang w:eastAsia="es-CR"/>
              </w:rPr>
              <w:t>1</w:t>
            </w:r>
          </w:p>
        </w:tc>
        <w:tc>
          <w:tcPr>
            <w:tcW w:w="6996" w:type="dxa"/>
            <w:vAlign w:val="center"/>
          </w:tcPr>
          <w:p w14:paraId="1F4EB19F" w14:textId="77777777" w:rsidR="00DB37B6" w:rsidRPr="00601E87" w:rsidRDefault="00DB37B6" w:rsidP="00EB031E">
            <w:pPr>
              <w:pStyle w:val="Sinespaciado"/>
              <w:jc w:val="both"/>
              <w:rPr>
                <w:rFonts w:ascii="Book Antiqua" w:hAnsi="Book Antiqua" w:cs="Book Antiqua"/>
              </w:rPr>
            </w:pPr>
          </w:p>
          <w:p w14:paraId="2900E8D8" w14:textId="77777777" w:rsidR="00DB37B6" w:rsidRPr="00601E87" w:rsidRDefault="00DB37B6" w:rsidP="00EB031E">
            <w:pPr>
              <w:pStyle w:val="Sinespaciado"/>
              <w:jc w:val="both"/>
              <w:rPr>
                <w:rFonts w:ascii="Book Antiqua" w:hAnsi="Book Antiqua" w:cs="Book Antiqua"/>
              </w:rPr>
            </w:pPr>
            <w:r w:rsidRPr="00601E87">
              <w:rPr>
                <w:rFonts w:ascii="Book Antiqua" w:hAnsi="Book Antiqua" w:cs="Book Antiqua"/>
              </w:rPr>
              <w:t>Oficio N°43-CJL-2021 del 2 de julio de 2021 remitido por el Magistrado Orlando Aguirre Gómez Coordinador de la Comisión de la Jurisdicción Laboral, (</w:t>
            </w:r>
            <w:r w:rsidRPr="00601E87">
              <w:rPr>
                <w:rFonts w:ascii="Book Antiqua" w:hAnsi="Book Antiqua" w:cs="Book Antiqua"/>
                <w:i/>
                <w:iCs/>
              </w:rPr>
              <w:t>se adjunta en anexo 14</w:t>
            </w:r>
            <w:r w:rsidRPr="00601E87">
              <w:rPr>
                <w:rFonts w:ascii="Book Antiqua" w:hAnsi="Book Antiqua" w:cs="Book Antiqua"/>
              </w:rPr>
              <w:t>) en el cual se indicó:</w:t>
            </w:r>
          </w:p>
          <w:p w14:paraId="22F17645" w14:textId="77777777" w:rsidR="00DB37B6" w:rsidRPr="00601E87" w:rsidRDefault="00DB37B6" w:rsidP="00EB031E">
            <w:pPr>
              <w:autoSpaceDE w:val="0"/>
              <w:autoSpaceDN w:val="0"/>
              <w:adjustRightInd w:val="0"/>
              <w:jc w:val="both"/>
              <w:rPr>
                <w:rFonts w:ascii="Book Antiqua" w:hAnsi="Book Antiqua" w:cs="Book Antiqua"/>
              </w:rPr>
            </w:pPr>
          </w:p>
          <w:p w14:paraId="2452F9B4" w14:textId="77777777" w:rsidR="00DB37B6" w:rsidRPr="00601E87" w:rsidRDefault="00DB37B6" w:rsidP="00EB031E">
            <w:pPr>
              <w:autoSpaceDE w:val="0"/>
              <w:autoSpaceDN w:val="0"/>
              <w:adjustRightInd w:val="0"/>
              <w:jc w:val="both"/>
              <w:rPr>
                <w:rFonts w:ascii="Book Antiqua" w:hAnsi="Book Antiqua" w:cs="Book Antiqua"/>
              </w:rPr>
            </w:pPr>
          </w:p>
          <w:p w14:paraId="1E42308E" w14:textId="1FB2D60B" w:rsidR="00DB37B6" w:rsidRDefault="00DB37B6" w:rsidP="00EB031E">
            <w:pPr>
              <w:widowControl w:val="0"/>
              <w:jc w:val="both"/>
              <w:rPr>
                <w:rFonts w:ascii="Book Antiqua" w:hAnsi="Book Antiqua" w:cs="Book Antiqua"/>
                <w:i/>
                <w:iCs/>
              </w:rPr>
            </w:pPr>
            <w:r w:rsidRPr="00601E87">
              <w:rPr>
                <w:rFonts w:ascii="Book Antiqua" w:hAnsi="Book Antiqua" w:cs="Book Antiqua"/>
                <w:i/>
                <w:iCs/>
              </w:rPr>
              <w:t xml:space="preserve">“…En atención del oficio N°708-PLA-MI-2021 relacionado con el estudio para determinar las cuotas de trabajo en los Tribunales que atienden las apelaciones en materia Trabajo y Civil del país, me permito comunicar dentro del plazo establecido, que la Comisión de </w:t>
            </w:r>
            <w:r w:rsidRPr="00EF1E24">
              <w:rPr>
                <w:rFonts w:ascii="Book Antiqua" w:hAnsi="Book Antiqua" w:cs="Book Antiqua"/>
                <w:i/>
                <w:iCs/>
              </w:rPr>
              <w:t>la Jurisdicción</w:t>
            </w:r>
            <w:r w:rsidRPr="00601E87">
              <w:rPr>
                <w:rFonts w:ascii="Book Antiqua" w:hAnsi="Book Antiqua" w:cs="Book Antiqua"/>
                <w:i/>
                <w:iCs/>
              </w:rPr>
              <w:t xml:space="preserve"> Laboral no tiene observaciones que hacer al informe que se pone en conocimiento…”</w:t>
            </w:r>
          </w:p>
          <w:p w14:paraId="2ACA1B72" w14:textId="41FDD3B6" w:rsidR="00A92FEF" w:rsidRDefault="00A92FEF" w:rsidP="00EB031E">
            <w:pPr>
              <w:widowControl w:val="0"/>
              <w:jc w:val="both"/>
              <w:rPr>
                <w:rFonts w:ascii="Book Antiqua" w:hAnsi="Book Antiqua" w:cs="Book Antiqua"/>
                <w:i/>
                <w:iCs/>
              </w:rPr>
            </w:pPr>
          </w:p>
          <w:p w14:paraId="41AFBE0A" w14:textId="77777777" w:rsidR="00A92FEF" w:rsidRPr="00601E87" w:rsidRDefault="00A92FEF" w:rsidP="00EB031E">
            <w:pPr>
              <w:widowControl w:val="0"/>
              <w:jc w:val="both"/>
              <w:rPr>
                <w:rFonts w:ascii="Book Antiqua" w:hAnsi="Book Antiqua" w:cs="Book Antiqua"/>
                <w:i/>
                <w:iCs/>
              </w:rPr>
            </w:pPr>
          </w:p>
          <w:p w14:paraId="6C4D79F8" w14:textId="77777777" w:rsidR="00DB37B6" w:rsidRPr="00601E87" w:rsidRDefault="00DB37B6" w:rsidP="00EB031E">
            <w:pPr>
              <w:autoSpaceDE w:val="0"/>
              <w:autoSpaceDN w:val="0"/>
              <w:adjustRightInd w:val="0"/>
              <w:jc w:val="both"/>
              <w:rPr>
                <w:rFonts w:ascii="Book Antiqua" w:hAnsi="Book Antiqua" w:cs="Book Antiqua"/>
              </w:rPr>
            </w:pPr>
          </w:p>
        </w:tc>
        <w:tc>
          <w:tcPr>
            <w:tcW w:w="3016" w:type="dxa"/>
            <w:vAlign w:val="center"/>
          </w:tcPr>
          <w:p w14:paraId="734D1CBF" w14:textId="77777777" w:rsidR="00DB37B6" w:rsidRPr="00601E87" w:rsidRDefault="00DB37B6" w:rsidP="00EB031E">
            <w:pPr>
              <w:autoSpaceDE w:val="0"/>
              <w:autoSpaceDN w:val="0"/>
              <w:adjustRightInd w:val="0"/>
              <w:jc w:val="both"/>
              <w:rPr>
                <w:rFonts w:ascii="Book Antiqua" w:hAnsi="Book Antiqua" w:cs="Book Antiqua"/>
                <w:color w:val="000000"/>
                <w:lang w:eastAsia="es-CR"/>
              </w:rPr>
            </w:pPr>
          </w:p>
          <w:p w14:paraId="7054BCC0" w14:textId="77777777" w:rsidR="00DB37B6" w:rsidRPr="00601E87" w:rsidRDefault="00DB37B6" w:rsidP="00EB031E">
            <w:pPr>
              <w:autoSpaceDE w:val="0"/>
              <w:autoSpaceDN w:val="0"/>
              <w:adjustRightInd w:val="0"/>
              <w:jc w:val="both"/>
              <w:rPr>
                <w:rFonts w:ascii="Book Antiqua" w:hAnsi="Book Antiqua" w:cs="Book Antiqua"/>
                <w:color w:val="000000"/>
                <w:lang w:eastAsia="es-CR"/>
              </w:rPr>
            </w:pPr>
            <w:r w:rsidRPr="00601E87">
              <w:rPr>
                <w:rFonts w:ascii="Book Antiqua" w:hAnsi="Book Antiqua" w:cs="Book Antiqua"/>
                <w:color w:val="000000"/>
                <w:lang w:eastAsia="es-CR"/>
              </w:rPr>
              <w:t xml:space="preserve">Se toma nota. La observación no modifica el contenido del informe. </w:t>
            </w:r>
          </w:p>
          <w:p w14:paraId="7DDA0B35" w14:textId="77777777" w:rsidR="00DB37B6" w:rsidRPr="00601E87" w:rsidRDefault="00DB37B6" w:rsidP="00EB031E">
            <w:pPr>
              <w:autoSpaceDE w:val="0"/>
              <w:autoSpaceDN w:val="0"/>
              <w:adjustRightInd w:val="0"/>
              <w:jc w:val="both"/>
              <w:rPr>
                <w:rFonts w:ascii="Book Antiqua" w:hAnsi="Book Antiqua" w:cs="Book Antiqua"/>
                <w:color w:val="000000"/>
                <w:lang w:eastAsia="es-CR"/>
              </w:rPr>
            </w:pPr>
          </w:p>
        </w:tc>
      </w:tr>
      <w:tr w:rsidR="00DB37B6" w:rsidRPr="00412A1D" w14:paraId="433F65E3" w14:textId="77777777" w:rsidTr="00EB031E">
        <w:trPr>
          <w:trHeight w:val="322"/>
        </w:trPr>
        <w:tc>
          <w:tcPr>
            <w:tcW w:w="10539" w:type="dxa"/>
            <w:gridSpan w:val="3"/>
            <w:shd w:val="clear" w:color="auto" w:fill="EAF1DD" w:themeFill="accent3" w:themeFillTint="33"/>
            <w:vAlign w:val="center"/>
          </w:tcPr>
          <w:p w14:paraId="099B6F3E" w14:textId="77777777" w:rsidR="00DB37B6" w:rsidRPr="00601E87" w:rsidRDefault="00DB37B6" w:rsidP="00EB031E">
            <w:pPr>
              <w:ind w:right="-427"/>
              <w:jc w:val="center"/>
              <w:rPr>
                <w:rFonts w:ascii="Book Antiqua" w:hAnsi="Book Antiqua" w:cs="Book Antiqua"/>
                <w:b/>
                <w:bCs/>
                <w:lang w:eastAsia="es-CR"/>
              </w:rPr>
            </w:pPr>
          </w:p>
          <w:p w14:paraId="2B074CE1" w14:textId="77777777" w:rsidR="00DB37B6" w:rsidRPr="00601E87" w:rsidRDefault="00DB37B6" w:rsidP="00EB031E">
            <w:pPr>
              <w:ind w:right="-427"/>
              <w:jc w:val="center"/>
              <w:rPr>
                <w:rFonts w:ascii="Book Antiqua" w:hAnsi="Book Antiqua" w:cs="Book Antiqua"/>
                <w:b/>
                <w:bCs/>
                <w:lang w:eastAsia="es-CR"/>
              </w:rPr>
            </w:pPr>
            <w:r w:rsidRPr="00601E87">
              <w:rPr>
                <w:rFonts w:ascii="Book Antiqua" w:hAnsi="Book Antiqua" w:cs="Book Antiqua"/>
                <w:b/>
                <w:bCs/>
                <w:lang w:eastAsia="es-CR"/>
              </w:rPr>
              <w:t>Tribunal de Apelaciones Civil y Laboral del I, II y III Circuito Judicial de Alajuela</w:t>
            </w:r>
          </w:p>
          <w:p w14:paraId="521D25C9" w14:textId="77777777" w:rsidR="00DB37B6" w:rsidRPr="00601E87" w:rsidRDefault="00DB37B6" w:rsidP="00EB031E">
            <w:pPr>
              <w:ind w:right="-427"/>
              <w:jc w:val="both"/>
              <w:rPr>
                <w:rFonts w:ascii="Book Antiqua" w:hAnsi="Book Antiqua" w:cs="Book Antiqua"/>
                <w:b/>
                <w:bCs/>
                <w:lang w:eastAsia="es-CR"/>
              </w:rPr>
            </w:pPr>
          </w:p>
        </w:tc>
      </w:tr>
      <w:tr w:rsidR="00DB37B6" w:rsidRPr="00412A1D" w14:paraId="74E4A8BF" w14:textId="77777777" w:rsidTr="00EB031E">
        <w:trPr>
          <w:trHeight w:val="322"/>
        </w:trPr>
        <w:tc>
          <w:tcPr>
            <w:tcW w:w="527" w:type="dxa"/>
            <w:shd w:val="clear" w:color="auto" w:fill="215868" w:themeFill="accent5" w:themeFillShade="80"/>
            <w:vAlign w:val="center"/>
          </w:tcPr>
          <w:p w14:paraId="72349572" w14:textId="77777777" w:rsidR="00DB37B6" w:rsidRPr="00601E87" w:rsidRDefault="00DB37B6" w:rsidP="00EB031E">
            <w:pPr>
              <w:ind w:right="-427"/>
              <w:jc w:val="center"/>
              <w:rPr>
                <w:rFonts w:ascii="Book Antiqua" w:hAnsi="Book Antiqua" w:cs="Book Antiqua"/>
                <w:b/>
                <w:bCs/>
                <w:color w:val="FFFFFF" w:themeColor="background1"/>
                <w:lang w:eastAsia="es-CR"/>
              </w:rPr>
            </w:pPr>
            <w:r w:rsidRPr="00601E87">
              <w:rPr>
                <w:rFonts w:ascii="Book Antiqua" w:hAnsi="Book Antiqua" w:cs="Book Antiqua"/>
                <w:b/>
                <w:bCs/>
                <w:color w:val="FFFFFF" w:themeColor="background1"/>
                <w:lang w:eastAsia="es-CR"/>
              </w:rPr>
              <w:t>N°</w:t>
            </w:r>
          </w:p>
        </w:tc>
        <w:tc>
          <w:tcPr>
            <w:tcW w:w="6996" w:type="dxa"/>
            <w:shd w:val="clear" w:color="auto" w:fill="215868" w:themeFill="accent5" w:themeFillShade="80"/>
            <w:vAlign w:val="center"/>
          </w:tcPr>
          <w:p w14:paraId="66562A67" w14:textId="77777777" w:rsidR="00DB37B6" w:rsidRPr="00601E87" w:rsidRDefault="00DB37B6" w:rsidP="00EB031E">
            <w:pPr>
              <w:ind w:right="-427"/>
              <w:contextualSpacing/>
              <w:jc w:val="center"/>
              <w:rPr>
                <w:rFonts w:ascii="Book Antiqua" w:hAnsi="Book Antiqua" w:cs="Book Antiqua"/>
                <w:b/>
                <w:bCs/>
                <w:color w:val="FFFFFF" w:themeColor="background1"/>
                <w:lang w:eastAsia="es-CR"/>
              </w:rPr>
            </w:pPr>
            <w:r w:rsidRPr="00601E87">
              <w:rPr>
                <w:rFonts w:ascii="Book Antiqua" w:hAnsi="Book Antiqua" w:cs="Book Antiqua"/>
                <w:b/>
                <w:bCs/>
                <w:color w:val="FFFFFF" w:themeColor="background1"/>
                <w:lang w:eastAsia="es-CR"/>
              </w:rPr>
              <w:t>Observación</w:t>
            </w:r>
          </w:p>
        </w:tc>
        <w:tc>
          <w:tcPr>
            <w:tcW w:w="3016" w:type="dxa"/>
            <w:shd w:val="clear" w:color="auto" w:fill="215868" w:themeFill="accent5" w:themeFillShade="80"/>
            <w:vAlign w:val="center"/>
          </w:tcPr>
          <w:p w14:paraId="12A59227" w14:textId="77777777" w:rsidR="00DB37B6" w:rsidRPr="00601E87" w:rsidRDefault="00DB37B6" w:rsidP="00EB031E">
            <w:pPr>
              <w:ind w:right="-427"/>
              <w:jc w:val="center"/>
              <w:rPr>
                <w:rFonts w:ascii="Book Antiqua" w:hAnsi="Book Antiqua" w:cs="Book Antiqua"/>
                <w:b/>
                <w:bCs/>
                <w:color w:val="FFFFFF" w:themeColor="background1"/>
                <w:lang w:eastAsia="es-CR"/>
              </w:rPr>
            </w:pPr>
            <w:r w:rsidRPr="00601E87">
              <w:rPr>
                <w:rFonts w:ascii="Book Antiqua" w:hAnsi="Book Antiqua" w:cs="Book Antiqua"/>
                <w:b/>
                <w:bCs/>
                <w:color w:val="FFFFFF" w:themeColor="background1"/>
                <w:lang w:eastAsia="es-CR"/>
              </w:rPr>
              <w:t>Criterio de la Dirección de Planificación</w:t>
            </w:r>
          </w:p>
        </w:tc>
      </w:tr>
      <w:tr w:rsidR="00DB37B6" w:rsidRPr="00412A1D" w14:paraId="22989D1E" w14:textId="77777777" w:rsidTr="00EB031E">
        <w:trPr>
          <w:trHeight w:val="322"/>
        </w:trPr>
        <w:tc>
          <w:tcPr>
            <w:tcW w:w="527" w:type="dxa"/>
            <w:vAlign w:val="center"/>
          </w:tcPr>
          <w:p w14:paraId="032AABA4" w14:textId="77777777" w:rsidR="00DB37B6" w:rsidRPr="00601E87" w:rsidRDefault="00DB37B6" w:rsidP="00EB031E">
            <w:pPr>
              <w:autoSpaceDE w:val="0"/>
              <w:autoSpaceDN w:val="0"/>
              <w:adjustRightInd w:val="0"/>
              <w:jc w:val="both"/>
              <w:rPr>
                <w:rFonts w:ascii="Book Antiqua" w:hAnsi="Book Antiqua" w:cs="Book Antiqua"/>
                <w:b/>
                <w:bCs/>
                <w:color w:val="000000"/>
                <w:lang w:eastAsia="es-CR"/>
              </w:rPr>
            </w:pPr>
          </w:p>
        </w:tc>
        <w:tc>
          <w:tcPr>
            <w:tcW w:w="6996" w:type="dxa"/>
            <w:vAlign w:val="center"/>
          </w:tcPr>
          <w:p w14:paraId="1707569F" w14:textId="58B8482B" w:rsidR="00DB37B6" w:rsidRPr="00601E87" w:rsidRDefault="00DB37B6" w:rsidP="00EB031E">
            <w:pPr>
              <w:contextualSpacing/>
              <w:jc w:val="both"/>
              <w:rPr>
                <w:rFonts w:ascii="Book Antiqua" w:hAnsi="Book Antiqua" w:cs="Book Antiqua"/>
              </w:rPr>
            </w:pPr>
            <w:r w:rsidRPr="00601E87">
              <w:rPr>
                <w:rFonts w:ascii="Book Antiqua" w:hAnsi="Book Antiqua" w:cs="Book Antiqua"/>
              </w:rPr>
              <w:t>Correo electrónico remitido el 02 de julio 2021 por parte del licenciado Guillermo Guilá Alvarado Juez Coordinador del Tribunal de Apelaciones Civil y Laboral del I, II y III Circuito Judicial de Alajuela (</w:t>
            </w:r>
            <w:r w:rsidRPr="00601E87">
              <w:rPr>
                <w:rFonts w:ascii="Book Antiqua" w:hAnsi="Book Antiqua" w:cs="Book Antiqua"/>
                <w:i/>
                <w:iCs/>
              </w:rPr>
              <w:t>se adjunta en anexo 15</w:t>
            </w:r>
            <w:r w:rsidR="000B0027" w:rsidRPr="00601E87">
              <w:rPr>
                <w:rFonts w:ascii="Book Antiqua" w:hAnsi="Book Antiqua" w:cs="Book Antiqua"/>
              </w:rPr>
              <w:t>),</w:t>
            </w:r>
            <w:r w:rsidRPr="00601E87">
              <w:rPr>
                <w:rFonts w:ascii="Book Antiqua" w:hAnsi="Book Antiqua" w:cs="Book Antiqua"/>
              </w:rPr>
              <w:t xml:space="preserve"> en el cual se indicó </w:t>
            </w:r>
          </w:p>
          <w:p w14:paraId="0F92D368" w14:textId="77777777" w:rsidR="00DB37B6" w:rsidRPr="00601E87" w:rsidRDefault="00DB37B6" w:rsidP="00EB031E">
            <w:pPr>
              <w:contextualSpacing/>
              <w:jc w:val="both"/>
              <w:rPr>
                <w:rFonts w:ascii="Book Antiqua" w:hAnsi="Book Antiqua" w:cs="Book Antiqua"/>
              </w:rPr>
            </w:pPr>
          </w:p>
          <w:p w14:paraId="0EC4E565" w14:textId="0EA629B4" w:rsidR="00DB37B6" w:rsidRDefault="00DB37B6" w:rsidP="00EB031E">
            <w:pPr>
              <w:jc w:val="both"/>
              <w:rPr>
                <w:rFonts w:ascii="Book Antiqua" w:hAnsi="Book Antiqua" w:cs="Book Antiqua"/>
                <w:i/>
                <w:iCs/>
              </w:rPr>
            </w:pPr>
            <w:r w:rsidRPr="00601E87">
              <w:rPr>
                <w:rFonts w:ascii="Book Antiqua" w:hAnsi="Book Antiqua" w:cs="Book Antiqua"/>
                <w:i/>
                <w:iCs/>
              </w:rPr>
              <w:t>“…en mi calidad de Juez Coordinador del Tribunal de Apelaciones Civil y Laboral del I, II y III Circuito Judicial de Alajuela, me dirijo respetuosamente ante ustedes para referirme al estudio preliminar 708-PLA-MI-2021.</w:t>
            </w:r>
          </w:p>
          <w:p w14:paraId="179AA8B9" w14:textId="77777777" w:rsidR="00535C15" w:rsidRPr="00601E87" w:rsidRDefault="00535C15" w:rsidP="00EB031E">
            <w:pPr>
              <w:jc w:val="both"/>
              <w:rPr>
                <w:rFonts w:ascii="Book Antiqua" w:hAnsi="Book Antiqua" w:cs="Book Antiqua"/>
                <w:i/>
                <w:iCs/>
              </w:rPr>
            </w:pPr>
          </w:p>
          <w:p w14:paraId="32A11867" w14:textId="23477BE1" w:rsidR="00DB37B6" w:rsidRDefault="00DB37B6" w:rsidP="00EB031E">
            <w:pPr>
              <w:jc w:val="both"/>
              <w:rPr>
                <w:rFonts w:ascii="Book Antiqua" w:hAnsi="Book Antiqua" w:cs="Book Antiqua"/>
                <w:i/>
                <w:iCs/>
              </w:rPr>
            </w:pPr>
            <w:r w:rsidRPr="00601E87">
              <w:rPr>
                <w:rFonts w:ascii="Book Antiqua" w:hAnsi="Book Antiqua" w:cs="Book Antiqua"/>
                <w:i/>
                <w:iCs/>
              </w:rPr>
              <w:t>         La observación que planteo se relaciona con el oficio 6634-18 que se refiere al acuerdo tomado por el Consejo Superior en la sesión, número 58-18, del 28 de junio de 2018, en el cual se le ordenó a la Dirección de Planificación "</w:t>
            </w:r>
            <w:r w:rsidRPr="00601E87">
              <w:rPr>
                <w:rFonts w:ascii="Book Antiqua" w:hAnsi="Book Antiqua" w:cs="Book Antiqua"/>
              </w:rPr>
              <w:t>Dotar de una herramienta para el reparto de procesos por materia Civil y de Trabajo</w:t>
            </w:r>
            <w:r w:rsidRPr="00601E87">
              <w:rPr>
                <w:rFonts w:ascii="Book Antiqua" w:hAnsi="Book Antiqua" w:cs="Book Antiqua"/>
                <w:i/>
                <w:iCs/>
              </w:rPr>
              <w:t>".</w:t>
            </w:r>
          </w:p>
          <w:p w14:paraId="086822D6" w14:textId="77777777" w:rsidR="00535C15" w:rsidRPr="00601E87" w:rsidRDefault="00535C15" w:rsidP="00EB031E">
            <w:pPr>
              <w:jc w:val="both"/>
              <w:rPr>
                <w:rFonts w:ascii="Book Antiqua" w:hAnsi="Book Antiqua" w:cs="Book Antiqua"/>
                <w:i/>
                <w:iCs/>
              </w:rPr>
            </w:pPr>
          </w:p>
          <w:p w14:paraId="6931F08C" w14:textId="1E0D12C8" w:rsidR="00DB37B6" w:rsidRDefault="00DB37B6" w:rsidP="00EB031E">
            <w:pPr>
              <w:jc w:val="both"/>
              <w:rPr>
                <w:rFonts w:ascii="Book Antiqua" w:hAnsi="Book Antiqua" w:cs="Book Antiqua"/>
                <w:i/>
                <w:iCs/>
              </w:rPr>
            </w:pPr>
            <w:r w:rsidRPr="00601E87">
              <w:rPr>
                <w:rFonts w:ascii="Book Antiqua" w:hAnsi="Book Antiqua" w:cs="Book Antiqua"/>
                <w:i/>
                <w:iCs/>
              </w:rPr>
              <w:t>         En cuanto a este aspecto, el estudio preliminar 708-PLA-MI-2021 se remite al informe 190-MI-2017 que fue conocido en la sesión del Consejo Superior, número 94-2017, del 12 de octubre de 2017, en el cual se recomendó el uso de dos herramientas para el pase de fallo: la tejedora y el libro de control (ambas herramientas funcionan con el programa Excel). </w:t>
            </w:r>
          </w:p>
          <w:p w14:paraId="76964E7B" w14:textId="77777777" w:rsidR="00535C15" w:rsidRPr="00601E87" w:rsidRDefault="00535C15" w:rsidP="00EB031E">
            <w:pPr>
              <w:jc w:val="both"/>
              <w:rPr>
                <w:rFonts w:ascii="Book Antiqua" w:hAnsi="Book Antiqua" w:cs="Book Antiqua"/>
                <w:i/>
                <w:iCs/>
              </w:rPr>
            </w:pPr>
          </w:p>
          <w:p w14:paraId="3BE60F7D" w14:textId="7F4DBDFD" w:rsidR="00DB37B6" w:rsidRDefault="00DB37B6" w:rsidP="00EB031E">
            <w:pPr>
              <w:jc w:val="both"/>
              <w:rPr>
                <w:rFonts w:ascii="Book Antiqua" w:hAnsi="Book Antiqua" w:cs="Book Antiqua"/>
                <w:i/>
                <w:iCs/>
              </w:rPr>
            </w:pPr>
            <w:r w:rsidRPr="00601E87">
              <w:rPr>
                <w:rFonts w:ascii="Book Antiqua" w:hAnsi="Book Antiqua" w:cs="Book Antiqua"/>
                <w:i/>
                <w:iCs/>
              </w:rPr>
              <w:t>Con todo respeto, debo hacerles ver que el informe 190-MI-2017 es anterior al acuerdo del Consejo Superior, número 58-18, del 28 de junio de 2018.  Esto lo recalco porque, si el Consejo Superior ordenó que se dote de una herramienta para el reparto de procesos por materia Civil y de Trabajo, debe entenderse que se trata de una nueva herramienta que suponga mejoras en la automatización de dicha función.  En efecto, no tiene sentido remitirse a la herramienta preexistente.</w:t>
            </w:r>
          </w:p>
          <w:p w14:paraId="647E961C" w14:textId="77777777" w:rsidR="00535C15" w:rsidRPr="00601E87" w:rsidRDefault="00535C15" w:rsidP="00EB031E">
            <w:pPr>
              <w:jc w:val="both"/>
              <w:rPr>
                <w:rFonts w:ascii="Book Antiqua" w:hAnsi="Book Antiqua" w:cs="Book Antiqua"/>
                <w:i/>
                <w:iCs/>
              </w:rPr>
            </w:pPr>
          </w:p>
          <w:p w14:paraId="03ED0615" w14:textId="77777777" w:rsidR="00DB37B6" w:rsidRDefault="00DB37B6" w:rsidP="00EB031E">
            <w:pPr>
              <w:jc w:val="both"/>
              <w:rPr>
                <w:rFonts w:ascii="Book Antiqua" w:hAnsi="Book Antiqua" w:cs="Book Antiqua"/>
                <w:i/>
                <w:iCs/>
              </w:rPr>
            </w:pPr>
            <w:r w:rsidRPr="00601E87">
              <w:rPr>
                <w:rFonts w:ascii="Book Antiqua" w:hAnsi="Book Antiqua" w:cs="Book Antiqua"/>
                <w:i/>
                <w:iCs/>
              </w:rPr>
              <w:t xml:space="preserve"> Debo hacer hincapié que, tal y como se expuso en el estudio preliminar 708-PLA-MI-2021, en el Tribunal de Apelaciones Civil y Laboral de I, II y III Circuito Judicial de Alajuela, ingresa una cantidad importante de apelaciones.  </w:t>
            </w:r>
          </w:p>
          <w:p w14:paraId="370EF4AC" w14:textId="77777777" w:rsidR="00DB37B6" w:rsidRPr="00601E87" w:rsidRDefault="00DB37B6" w:rsidP="00EB031E">
            <w:pPr>
              <w:jc w:val="both"/>
              <w:rPr>
                <w:rFonts w:ascii="Book Antiqua" w:hAnsi="Book Antiqua" w:cs="Book Antiqua"/>
                <w:i/>
                <w:iCs/>
              </w:rPr>
            </w:pPr>
            <w:r w:rsidRPr="00601E87">
              <w:rPr>
                <w:rFonts w:ascii="Book Antiqua" w:hAnsi="Book Antiqua" w:cs="Book Antiqua"/>
                <w:i/>
                <w:iCs/>
              </w:rPr>
              <w:t xml:space="preserve"> Con todo, el uso de la tejedora y el libro de control de fallo suponen la inversión de tiempo por parte de la Coordinadora Judicial del tribunal, quien tiene que digitar información de todos esos procesos en ambas herramientas.  </w:t>
            </w:r>
          </w:p>
          <w:p w14:paraId="53CD484B" w14:textId="77777777" w:rsidR="00DB37B6" w:rsidRPr="00601E87" w:rsidRDefault="00DB37B6" w:rsidP="00EB031E">
            <w:pPr>
              <w:contextualSpacing/>
              <w:jc w:val="both"/>
              <w:rPr>
                <w:rFonts w:ascii="Book Antiqua" w:hAnsi="Book Antiqua" w:cs="Book Antiqua"/>
                <w:i/>
                <w:iCs/>
              </w:rPr>
            </w:pPr>
            <w:r w:rsidRPr="00601E87">
              <w:rPr>
                <w:rFonts w:ascii="Book Antiqua" w:hAnsi="Book Antiqua" w:cs="Book Antiqua"/>
                <w:i/>
                <w:iCs/>
              </w:rPr>
              <w:t>Necesitamos una herramienta que funcione de forma automatizada, de tal forma que el pase a fallo sea más expedito…”</w:t>
            </w:r>
          </w:p>
          <w:p w14:paraId="055B4EF9" w14:textId="77777777" w:rsidR="00DB37B6" w:rsidRPr="00601E87" w:rsidRDefault="00DB37B6" w:rsidP="00EB031E">
            <w:pPr>
              <w:contextualSpacing/>
              <w:jc w:val="both"/>
              <w:rPr>
                <w:rFonts w:ascii="Book Antiqua" w:hAnsi="Book Antiqua" w:cs="Book Antiqua"/>
              </w:rPr>
            </w:pPr>
          </w:p>
          <w:p w14:paraId="1AF16540" w14:textId="77777777" w:rsidR="00DB37B6" w:rsidRPr="00601E87" w:rsidRDefault="00DB37B6" w:rsidP="00EB031E">
            <w:pPr>
              <w:contextualSpacing/>
              <w:jc w:val="both"/>
              <w:rPr>
                <w:rFonts w:ascii="Book Antiqua" w:hAnsi="Book Antiqua" w:cs="Book Antiqua"/>
              </w:rPr>
            </w:pPr>
          </w:p>
        </w:tc>
        <w:tc>
          <w:tcPr>
            <w:tcW w:w="3016" w:type="dxa"/>
            <w:vAlign w:val="center"/>
          </w:tcPr>
          <w:p w14:paraId="39C603F8" w14:textId="77777777" w:rsidR="00DB37B6" w:rsidRDefault="00DB37B6" w:rsidP="00EB031E">
            <w:pPr>
              <w:autoSpaceDE w:val="0"/>
              <w:autoSpaceDN w:val="0"/>
              <w:adjustRightInd w:val="0"/>
              <w:jc w:val="both"/>
              <w:rPr>
                <w:rFonts w:ascii="Book Antiqua" w:hAnsi="Book Antiqua" w:cs="Book Antiqua"/>
                <w:color w:val="000000"/>
                <w:lang w:eastAsia="es-CR"/>
              </w:rPr>
            </w:pPr>
            <w:r>
              <w:rPr>
                <w:rFonts w:ascii="Book Antiqua" w:hAnsi="Book Antiqua" w:cs="Book Antiqua"/>
                <w:color w:val="000000"/>
                <w:lang w:eastAsia="es-CR"/>
              </w:rPr>
              <w:t xml:space="preserve">Se toma nota, la observación modifica el contenido del informe. </w:t>
            </w:r>
          </w:p>
          <w:p w14:paraId="7C931203" w14:textId="77777777" w:rsidR="00DB37B6" w:rsidRPr="00601E87" w:rsidRDefault="00DB37B6" w:rsidP="00EB031E">
            <w:pPr>
              <w:autoSpaceDE w:val="0"/>
              <w:autoSpaceDN w:val="0"/>
              <w:adjustRightInd w:val="0"/>
              <w:jc w:val="both"/>
              <w:rPr>
                <w:rFonts w:ascii="Book Antiqua" w:hAnsi="Book Antiqua" w:cs="Book Antiqua"/>
                <w:color w:val="000000"/>
                <w:lang w:eastAsia="es-CR"/>
              </w:rPr>
            </w:pPr>
          </w:p>
          <w:p w14:paraId="312703E3" w14:textId="77777777" w:rsidR="00DB37B6" w:rsidRDefault="00DB37B6" w:rsidP="00EB031E">
            <w:pPr>
              <w:autoSpaceDE w:val="0"/>
              <w:autoSpaceDN w:val="0"/>
              <w:adjustRightInd w:val="0"/>
              <w:jc w:val="both"/>
              <w:rPr>
                <w:rFonts w:ascii="Book Antiqua" w:hAnsi="Book Antiqua" w:cs="Book Antiqua"/>
                <w:color w:val="000000"/>
                <w:lang w:eastAsia="es-CR"/>
              </w:rPr>
            </w:pPr>
            <w:r w:rsidRPr="00601E87">
              <w:rPr>
                <w:rFonts w:ascii="Book Antiqua" w:hAnsi="Book Antiqua" w:cs="Book Antiqua"/>
                <w:color w:val="000000"/>
                <w:lang w:eastAsia="es-CR"/>
              </w:rPr>
              <w:t xml:space="preserve">Relacionado a la observación realizada por el licenciado </w:t>
            </w:r>
            <w:r w:rsidRPr="00601E87">
              <w:rPr>
                <w:rFonts w:ascii="Book Antiqua" w:hAnsi="Book Antiqua" w:cs="Book Antiqua"/>
              </w:rPr>
              <w:t>Guilá Alvarado</w:t>
            </w:r>
            <w:r>
              <w:rPr>
                <w:rFonts w:ascii="Book Antiqua" w:hAnsi="Book Antiqua" w:cs="Book Antiqua"/>
              </w:rPr>
              <w:t>,</w:t>
            </w:r>
            <w:r w:rsidRPr="00601E87">
              <w:rPr>
                <w:rFonts w:ascii="Book Antiqua" w:hAnsi="Book Antiqua" w:cs="Book Antiqua"/>
              </w:rPr>
              <w:t xml:space="preserve"> Juez Coordinador del Tribunal de Apelaciones Civil y Laboral del I, II y III Circuito Judicial de Alajuela, es importante considerar que la observación d</w:t>
            </w:r>
            <w:r w:rsidRPr="00601E87">
              <w:rPr>
                <w:rFonts w:ascii="Book Antiqua" w:hAnsi="Book Antiqua" w:cs="Book Antiqua"/>
                <w:color w:val="000000"/>
                <w:lang w:eastAsia="es-CR"/>
              </w:rPr>
              <w:t>ifiere del original</w:t>
            </w:r>
            <w:r>
              <w:rPr>
                <w:rFonts w:ascii="Book Antiqua" w:hAnsi="Book Antiqua" w:cs="Book Antiqua"/>
                <w:color w:val="000000"/>
                <w:lang w:eastAsia="es-CR"/>
              </w:rPr>
              <w:t xml:space="preserve">, debido a que en la observación remitida se indica que se necesita de una herramienta automatizada, y la herramienta que la Dirección se Planificación implementó en todos los Tribunales de Apelación Civil y Laboral del País  corresponde a la tejedora, la cual se debe de llenar de manera manual. </w:t>
            </w:r>
          </w:p>
          <w:p w14:paraId="40CCEC9D" w14:textId="77777777" w:rsidR="00DB37B6" w:rsidRDefault="00DB37B6" w:rsidP="00EB031E">
            <w:pPr>
              <w:autoSpaceDE w:val="0"/>
              <w:autoSpaceDN w:val="0"/>
              <w:adjustRightInd w:val="0"/>
              <w:jc w:val="both"/>
              <w:rPr>
                <w:rFonts w:ascii="Book Antiqua" w:hAnsi="Book Antiqua"/>
              </w:rPr>
            </w:pPr>
            <w:r>
              <w:rPr>
                <w:rFonts w:ascii="Book Antiqua" w:hAnsi="Book Antiqua"/>
              </w:rPr>
              <w:t>.</w:t>
            </w:r>
          </w:p>
          <w:p w14:paraId="109E1203" w14:textId="77777777" w:rsidR="00DB37B6" w:rsidRDefault="00DB37B6" w:rsidP="00EB031E">
            <w:pPr>
              <w:autoSpaceDE w:val="0"/>
              <w:autoSpaceDN w:val="0"/>
              <w:adjustRightInd w:val="0"/>
              <w:jc w:val="both"/>
              <w:rPr>
                <w:rFonts w:ascii="Book Antiqua" w:hAnsi="Book Antiqua"/>
              </w:rPr>
            </w:pPr>
            <w:r>
              <w:rPr>
                <w:rFonts w:ascii="Book Antiqua" w:hAnsi="Book Antiqua"/>
              </w:rPr>
              <w:t>Es importante tomar en consideración que, mediante acuerdo</w:t>
            </w:r>
            <w:r w:rsidRPr="00302589">
              <w:rPr>
                <w:rFonts w:ascii="Book Antiqua" w:hAnsi="Book Antiqua"/>
              </w:rPr>
              <w:t xml:space="preserve"> tomado por el Consejo Sup</w:t>
            </w:r>
            <w:r w:rsidRPr="00656BEE">
              <w:rPr>
                <w:rFonts w:ascii="Book Antiqua" w:hAnsi="Book Antiqua"/>
              </w:rPr>
              <w:t xml:space="preserve">erior del Poder Judicial, en la sesión </w:t>
            </w:r>
            <w:r w:rsidRPr="00601E87">
              <w:rPr>
                <w:rFonts w:ascii="Book Antiqua" w:hAnsi="Book Antiqua"/>
              </w:rPr>
              <w:t xml:space="preserve">N° 58-18 </w:t>
            </w:r>
            <w:r w:rsidRPr="00302589">
              <w:rPr>
                <w:rFonts w:ascii="Book Antiqua" w:hAnsi="Book Antiqua"/>
              </w:rPr>
              <w:t>c</w:t>
            </w:r>
            <w:r w:rsidRPr="00656BEE">
              <w:rPr>
                <w:rFonts w:ascii="Book Antiqua" w:hAnsi="Book Antiqua"/>
              </w:rPr>
              <w:t xml:space="preserve">elebrada el </w:t>
            </w:r>
            <w:r w:rsidRPr="00601E87">
              <w:rPr>
                <w:rFonts w:ascii="Book Antiqua" w:hAnsi="Book Antiqua"/>
              </w:rPr>
              <w:t>28 de junio del 2018, artículo L</w:t>
            </w:r>
            <w:r w:rsidRPr="00302589">
              <w:rPr>
                <w:rFonts w:ascii="Book Antiqua" w:hAnsi="Book Antiqua"/>
              </w:rPr>
              <w:t xml:space="preserve"> </w:t>
            </w:r>
            <w:r w:rsidRPr="00656BEE">
              <w:rPr>
                <w:rFonts w:ascii="Book Antiqua" w:hAnsi="Book Antiqua"/>
              </w:rPr>
              <w:t>se acordó</w:t>
            </w:r>
            <w:r w:rsidRPr="00412A1D">
              <w:rPr>
                <w:rFonts w:ascii="Book Antiqua" w:hAnsi="Book Antiqua"/>
              </w:rPr>
              <w:t>:</w:t>
            </w:r>
          </w:p>
          <w:p w14:paraId="1B25C1CD" w14:textId="77777777" w:rsidR="00DB37B6" w:rsidRPr="00601E87" w:rsidRDefault="00DB37B6" w:rsidP="00EB031E">
            <w:pPr>
              <w:autoSpaceDE w:val="0"/>
              <w:autoSpaceDN w:val="0"/>
              <w:adjustRightInd w:val="0"/>
              <w:jc w:val="both"/>
              <w:rPr>
                <w:rFonts w:ascii="Book Antiqua" w:hAnsi="Book Antiqua" w:cs="Book Antiqua"/>
                <w:color w:val="000000"/>
                <w:lang w:eastAsia="es-CR"/>
              </w:rPr>
            </w:pPr>
          </w:p>
          <w:p w14:paraId="12889E9B" w14:textId="77777777" w:rsidR="00DB37B6" w:rsidRPr="00412A1D" w:rsidRDefault="00DB37B6" w:rsidP="00EB031E">
            <w:pPr>
              <w:jc w:val="both"/>
              <w:rPr>
                <w:rFonts w:ascii="Book Antiqua" w:hAnsi="Book Antiqua"/>
                <w:i/>
                <w:iCs/>
              </w:rPr>
            </w:pPr>
            <w:r>
              <w:rPr>
                <w:rFonts w:ascii="Book Antiqua" w:hAnsi="Book Antiqua"/>
                <w:b/>
                <w:i/>
                <w:iCs/>
                <w:lang w:eastAsia="es-CR"/>
              </w:rPr>
              <w:t>“…</w:t>
            </w:r>
            <w:r w:rsidRPr="00302589">
              <w:rPr>
                <w:rFonts w:ascii="Book Antiqua" w:hAnsi="Book Antiqua"/>
                <w:b/>
                <w:i/>
                <w:iCs/>
              </w:rPr>
              <w:t>F.1.b.</w:t>
            </w:r>
            <w:r w:rsidRPr="00412A1D">
              <w:rPr>
                <w:rFonts w:ascii="Book Antiqua" w:hAnsi="Book Antiqua"/>
                <w:b/>
                <w:i/>
                <w:iCs/>
              </w:rPr>
              <w:t>)</w:t>
            </w:r>
            <w:r w:rsidRPr="00412A1D">
              <w:rPr>
                <w:rFonts w:ascii="Book Antiqua" w:hAnsi="Book Antiqua"/>
                <w:i/>
                <w:iCs/>
              </w:rPr>
              <w:t xml:space="preserve"> Deberá dotar de una herramienta para el reparto de procesos por materia Civil y de Trabajo. </w:t>
            </w:r>
            <w:r w:rsidRPr="00412A1D">
              <w:rPr>
                <w:rFonts w:ascii="Book Antiqua" w:hAnsi="Book Antiqua"/>
                <w:b/>
                <w:i/>
                <w:iCs/>
              </w:rPr>
              <w:t>F.1.c.)</w:t>
            </w:r>
            <w:r w:rsidRPr="00412A1D">
              <w:rPr>
                <w:rFonts w:ascii="Book Antiqua" w:hAnsi="Book Antiqua"/>
                <w:i/>
                <w:iCs/>
              </w:rPr>
              <w:t xml:space="preserve"> Capacitará en el uso de la herramienta para equiparar las cargas de trabajo y del uso de los indicadores …”.</w:t>
            </w:r>
          </w:p>
          <w:p w14:paraId="1E395E94" w14:textId="77777777" w:rsidR="00DB37B6" w:rsidRPr="00412A1D" w:rsidRDefault="00DB37B6" w:rsidP="00EB031E">
            <w:pPr>
              <w:widowControl w:val="0"/>
              <w:autoSpaceDE w:val="0"/>
              <w:autoSpaceDN w:val="0"/>
              <w:adjustRightInd w:val="0"/>
              <w:spacing w:line="276" w:lineRule="auto"/>
              <w:ind w:right="49"/>
              <w:jc w:val="both"/>
              <w:rPr>
                <w:rFonts w:ascii="Book Antiqua" w:hAnsi="Book Antiqua"/>
              </w:rPr>
            </w:pPr>
          </w:p>
          <w:p w14:paraId="19EE0512" w14:textId="77777777" w:rsidR="00DB37B6" w:rsidRPr="00412A1D" w:rsidRDefault="00DB37B6" w:rsidP="00EB031E">
            <w:pPr>
              <w:autoSpaceDE w:val="0"/>
              <w:autoSpaceDN w:val="0"/>
              <w:adjustRightInd w:val="0"/>
              <w:jc w:val="both"/>
              <w:rPr>
                <w:rFonts w:ascii="Book Antiqua" w:hAnsi="Book Antiqua"/>
              </w:rPr>
            </w:pPr>
            <w:r>
              <w:rPr>
                <w:rFonts w:ascii="Book Antiqua" w:hAnsi="Book Antiqua"/>
              </w:rPr>
              <w:t>Tal como se observa en el acuerdo del Consejo Superior se establece</w:t>
            </w:r>
            <w:r w:rsidRPr="00302589">
              <w:rPr>
                <w:rFonts w:ascii="Book Antiqua" w:hAnsi="Book Antiqua"/>
              </w:rPr>
              <w:t xml:space="preserve"> la</w:t>
            </w:r>
            <w:r w:rsidRPr="00412A1D">
              <w:rPr>
                <w:rFonts w:ascii="Book Antiqua" w:hAnsi="Book Antiqua"/>
              </w:rPr>
              <w:t xml:space="preserve"> Dirección de Planificación dot</w:t>
            </w:r>
            <w:r>
              <w:rPr>
                <w:rFonts w:ascii="Book Antiqua" w:hAnsi="Book Antiqua"/>
              </w:rPr>
              <w:t>e</w:t>
            </w:r>
            <w:r w:rsidRPr="00302589">
              <w:rPr>
                <w:rFonts w:ascii="Book Antiqua" w:hAnsi="Book Antiqua"/>
              </w:rPr>
              <w:t xml:space="preserve"> de una herramienta </w:t>
            </w:r>
            <w:r w:rsidRPr="00412A1D">
              <w:rPr>
                <w:rFonts w:ascii="Book Antiqua" w:hAnsi="Book Antiqua"/>
              </w:rPr>
              <w:t>para el reparto de los procesos Civiles y Laborales, y en este caso la herramienta</w:t>
            </w:r>
            <w:r>
              <w:rPr>
                <w:rFonts w:ascii="Book Antiqua" w:hAnsi="Book Antiqua"/>
              </w:rPr>
              <w:t xml:space="preserve"> implementada </w:t>
            </w:r>
            <w:r w:rsidRPr="00302589">
              <w:rPr>
                <w:rFonts w:ascii="Book Antiqua" w:hAnsi="Book Antiqua"/>
              </w:rPr>
              <w:t>correspo</w:t>
            </w:r>
            <w:r w:rsidRPr="00412A1D">
              <w:rPr>
                <w:rFonts w:ascii="Book Antiqua" w:hAnsi="Book Antiqua"/>
              </w:rPr>
              <w:t>nde a la tejedora</w:t>
            </w:r>
            <w:r>
              <w:rPr>
                <w:rFonts w:ascii="Book Antiqua" w:hAnsi="Book Antiqua"/>
              </w:rPr>
              <w:t xml:space="preserve"> de casos</w:t>
            </w:r>
            <w:r w:rsidRPr="00302589">
              <w:rPr>
                <w:rFonts w:ascii="Book Antiqua" w:hAnsi="Book Antiqua"/>
              </w:rPr>
              <w:t xml:space="preserve">. </w:t>
            </w:r>
          </w:p>
          <w:p w14:paraId="5B454AF2" w14:textId="77777777" w:rsidR="00DB37B6" w:rsidRPr="00601E87" w:rsidRDefault="00DB37B6" w:rsidP="00EB031E">
            <w:pPr>
              <w:autoSpaceDE w:val="0"/>
              <w:autoSpaceDN w:val="0"/>
              <w:adjustRightInd w:val="0"/>
              <w:jc w:val="both"/>
              <w:rPr>
                <w:rFonts w:ascii="Book Antiqua" w:hAnsi="Book Antiqua" w:cs="Book Antiqua"/>
                <w:color w:val="000000"/>
                <w:lang w:eastAsia="es-CR"/>
              </w:rPr>
            </w:pPr>
          </w:p>
          <w:p w14:paraId="0C5903BA" w14:textId="702D39F0" w:rsidR="00DB37B6" w:rsidRDefault="00DB37B6" w:rsidP="00EB031E">
            <w:pPr>
              <w:autoSpaceDE w:val="0"/>
              <w:autoSpaceDN w:val="0"/>
              <w:adjustRightInd w:val="0"/>
              <w:jc w:val="both"/>
              <w:rPr>
                <w:rFonts w:ascii="Book Antiqua" w:hAnsi="Book Antiqua" w:cs="Book Antiqua"/>
                <w:color w:val="000000"/>
                <w:lang w:eastAsia="es-CR"/>
              </w:rPr>
            </w:pPr>
            <w:r w:rsidRPr="00601E87">
              <w:rPr>
                <w:rFonts w:ascii="Book Antiqua" w:hAnsi="Book Antiqua" w:cs="Book Antiqua"/>
                <w:color w:val="000000"/>
                <w:lang w:eastAsia="es-CR"/>
              </w:rPr>
              <w:t>Una vez expuesto lo an</w:t>
            </w:r>
            <w:r>
              <w:rPr>
                <w:rFonts w:ascii="Book Antiqua" w:hAnsi="Book Antiqua" w:cs="Book Antiqua"/>
                <w:color w:val="000000"/>
                <w:lang w:eastAsia="es-CR"/>
              </w:rPr>
              <w:t xml:space="preserve">terior </w:t>
            </w:r>
            <w:r w:rsidRPr="00601E87">
              <w:rPr>
                <w:rFonts w:ascii="Book Antiqua" w:hAnsi="Book Antiqua" w:cs="Book Antiqua"/>
                <w:color w:val="000000"/>
                <w:lang w:eastAsia="es-CR"/>
              </w:rPr>
              <w:t>debido a que la solicitud de reparto</w:t>
            </w:r>
            <w:r>
              <w:rPr>
                <w:rFonts w:ascii="Book Antiqua" w:hAnsi="Book Antiqua" w:cs="Book Antiqua"/>
                <w:color w:val="000000"/>
                <w:lang w:eastAsia="es-CR"/>
              </w:rPr>
              <w:t xml:space="preserve"> de forma automatizada se incorpora en el informe la </w:t>
            </w:r>
            <w:r w:rsidRPr="00601E87">
              <w:rPr>
                <w:rFonts w:ascii="Book Antiqua" w:hAnsi="Book Antiqua" w:cs="Book Antiqua"/>
                <w:color w:val="000000"/>
                <w:lang w:eastAsia="es-CR"/>
              </w:rPr>
              <w:t xml:space="preserve">recomendación </w:t>
            </w:r>
            <w:r>
              <w:rPr>
                <w:rFonts w:ascii="Book Antiqua" w:hAnsi="Book Antiqua" w:cs="Book Antiqua"/>
                <w:color w:val="000000"/>
                <w:lang w:eastAsia="es-CR"/>
              </w:rPr>
              <w:t xml:space="preserve">para que la Dirección de </w:t>
            </w:r>
            <w:r w:rsidR="00CB40A4">
              <w:rPr>
                <w:rFonts w:ascii="Book Antiqua" w:hAnsi="Book Antiqua" w:cs="Book Antiqua"/>
                <w:color w:val="000000"/>
                <w:lang w:eastAsia="es-CR"/>
              </w:rPr>
              <w:t>Tecnología</w:t>
            </w:r>
            <w:r>
              <w:rPr>
                <w:rFonts w:ascii="Book Antiqua" w:hAnsi="Book Antiqua" w:cs="Book Antiqua"/>
                <w:color w:val="000000"/>
                <w:lang w:eastAsia="es-CR"/>
              </w:rPr>
              <w:t xml:space="preserve"> de la Información en coordinación con el Equipo Gestor de la materia Laboral y Civil con la finalidad de d</w:t>
            </w:r>
            <w:r w:rsidRPr="00601E87">
              <w:rPr>
                <w:rFonts w:ascii="Book Antiqua" w:hAnsi="Book Antiqua" w:cs="Book Antiqua"/>
                <w:color w:val="000000"/>
                <w:lang w:eastAsia="es-CR"/>
              </w:rPr>
              <w:t xml:space="preserve">efinir </w:t>
            </w:r>
            <w:r>
              <w:rPr>
                <w:rFonts w:ascii="Book Antiqua" w:hAnsi="Book Antiqua" w:cs="Book Antiqua"/>
                <w:color w:val="000000"/>
                <w:lang w:eastAsia="es-CR"/>
              </w:rPr>
              <w:t xml:space="preserve">el reparto de manera idónea </w:t>
            </w:r>
            <w:r w:rsidRPr="00601E87">
              <w:rPr>
                <w:rFonts w:ascii="Book Antiqua" w:hAnsi="Book Antiqua" w:cs="Book Antiqua"/>
                <w:color w:val="000000"/>
                <w:lang w:eastAsia="es-CR"/>
              </w:rPr>
              <w:t xml:space="preserve">por tipo de </w:t>
            </w:r>
            <w:r w:rsidRPr="00302589">
              <w:rPr>
                <w:rFonts w:ascii="Book Antiqua" w:hAnsi="Book Antiqua" w:cs="Book Antiqua"/>
                <w:color w:val="000000"/>
                <w:lang w:eastAsia="es-CR"/>
              </w:rPr>
              <w:t>proceso</w:t>
            </w:r>
            <w:r>
              <w:rPr>
                <w:rFonts w:ascii="Book Antiqua" w:hAnsi="Book Antiqua" w:cs="Book Antiqua"/>
                <w:color w:val="000000"/>
                <w:lang w:eastAsia="es-CR"/>
              </w:rPr>
              <w:t xml:space="preserve"> y la </w:t>
            </w:r>
            <w:r w:rsidRPr="00302589">
              <w:rPr>
                <w:rFonts w:ascii="Book Antiqua" w:hAnsi="Book Antiqua" w:cs="Book Antiqua"/>
                <w:color w:val="000000"/>
                <w:lang w:eastAsia="es-CR"/>
              </w:rPr>
              <w:t>viabilidad</w:t>
            </w:r>
            <w:r w:rsidRPr="00601E87">
              <w:rPr>
                <w:rFonts w:ascii="Book Antiqua" w:hAnsi="Book Antiqua" w:cs="Book Antiqua"/>
                <w:color w:val="000000"/>
                <w:lang w:eastAsia="es-CR"/>
              </w:rPr>
              <w:t xml:space="preserve"> </w:t>
            </w:r>
            <w:r>
              <w:rPr>
                <w:rFonts w:ascii="Book Antiqua" w:hAnsi="Book Antiqua" w:cs="Book Antiqua"/>
                <w:color w:val="000000"/>
                <w:lang w:eastAsia="es-CR"/>
              </w:rPr>
              <w:t xml:space="preserve">de un reparto por </w:t>
            </w:r>
            <w:r w:rsidRPr="00601E87">
              <w:rPr>
                <w:rFonts w:ascii="Book Antiqua" w:hAnsi="Book Antiqua" w:cs="Book Antiqua"/>
                <w:color w:val="000000"/>
                <w:lang w:eastAsia="es-CR"/>
              </w:rPr>
              <w:t>tipo de apelación</w:t>
            </w:r>
            <w:r>
              <w:rPr>
                <w:rFonts w:ascii="Book Antiqua" w:hAnsi="Book Antiqua" w:cs="Book Antiqua"/>
                <w:color w:val="000000"/>
                <w:lang w:eastAsia="es-CR"/>
              </w:rPr>
              <w:t xml:space="preserve"> (interlocutoria o de sentencia)</w:t>
            </w:r>
            <w:r w:rsidRPr="00601E87">
              <w:rPr>
                <w:rFonts w:ascii="Book Antiqua" w:hAnsi="Book Antiqua" w:cs="Book Antiqua"/>
                <w:color w:val="000000"/>
                <w:lang w:eastAsia="es-CR"/>
              </w:rPr>
              <w:t xml:space="preserve"> u otra variable que</w:t>
            </w:r>
            <w:r>
              <w:rPr>
                <w:rFonts w:ascii="Book Antiqua" w:hAnsi="Book Antiqua" w:cs="Book Antiqua"/>
                <w:color w:val="000000"/>
                <w:lang w:eastAsia="es-CR"/>
              </w:rPr>
              <w:t xml:space="preserve"> se considere de relevancia, esto con la finalidad de que el reparto se defina de manera óptima.</w:t>
            </w:r>
          </w:p>
          <w:p w14:paraId="4DF0B9EE" w14:textId="77777777" w:rsidR="00DB37B6" w:rsidRPr="00601E87" w:rsidRDefault="00DB37B6" w:rsidP="00EB031E">
            <w:pPr>
              <w:autoSpaceDE w:val="0"/>
              <w:autoSpaceDN w:val="0"/>
              <w:adjustRightInd w:val="0"/>
              <w:jc w:val="both"/>
              <w:rPr>
                <w:rFonts w:ascii="Book Antiqua" w:hAnsi="Book Antiqua" w:cs="Book Antiqua"/>
                <w:color w:val="000000"/>
                <w:lang w:eastAsia="es-CR"/>
              </w:rPr>
            </w:pPr>
            <w:r>
              <w:rPr>
                <w:rFonts w:ascii="Book Antiqua" w:hAnsi="Book Antiqua" w:cs="Book Antiqua"/>
                <w:color w:val="000000"/>
                <w:lang w:eastAsia="es-CR"/>
              </w:rPr>
              <w:t xml:space="preserve"> </w:t>
            </w:r>
          </w:p>
          <w:p w14:paraId="2719C49E" w14:textId="77777777" w:rsidR="00DB37B6" w:rsidRPr="00601E87" w:rsidRDefault="00DB37B6" w:rsidP="00EB031E">
            <w:pPr>
              <w:autoSpaceDE w:val="0"/>
              <w:autoSpaceDN w:val="0"/>
              <w:adjustRightInd w:val="0"/>
              <w:jc w:val="both"/>
              <w:rPr>
                <w:rFonts w:ascii="Book Antiqua" w:hAnsi="Book Antiqua" w:cs="Book Antiqua"/>
                <w:color w:val="000000"/>
                <w:lang w:eastAsia="es-CR"/>
              </w:rPr>
            </w:pPr>
            <w:r>
              <w:rPr>
                <w:rFonts w:ascii="Book Antiqua" w:hAnsi="Book Antiqua" w:cs="Book Antiqua"/>
                <w:color w:val="000000"/>
                <w:lang w:eastAsia="es-CR"/>
              </w:rPr>
              <w:t>Relacionado con la m</w:t>
            </w:r>
            <w:r w:rsidRPr="00601E87">
              <w:rPr>
                <w:rFonts w:ascii="Book Antiqua" w:hAnsi="Book Antiqua" w:cs="Book Antiqua"/>
                <w:color w:val="000000"/>
                <w:lang w:eastAsia="es-CR"/>
              </w:rPr>
              <w:t xml:space="preserve">ejora de pase a fallo </w:t>
            </w:r>
            <w:r>
              <w:rPr>
                <w:rFonts w:ascii="Book Antiqua" w:hAnsi="Book Antiqua" w:cs="Book Antiqua"/>
                <w:color w:val="000000"/>
                <w:lang w:eastAsia="es-CR"/>
              </w:rPr>
              <w:t xml:space="preserve">se incorpora la recomendación al Equipo Gestor de la materia Civil y de la materia Laboral para que en conjunto valoren la viabilidad de la implementación de la mejora de </w:t>
            </w:r>
            <w:r w:rsidRPr="00302589">
              <w:rPr>
                <w:rFonts w:ascii="Book Antiqua" w:hAnsi="Book Antiqua" w:cs="Book Antiqua"/>
                <w:color w:val="000000"/>
                <w:lang w:eastAsia="es-CR"/>
              </w:rPr>
              <w:t>pase</w:t>
            </w:r>
            <w:r w:rsidRPr="00601E87">
              <w:rPr>
                <w:rFonts w:ascii="Book Antiqua" w:hAnsi="Book Antiqua" w:cs="Book Antiqua"/>
                <w:color w:val="000000"/>
                <w:lang w:eastAsia="es-CR"/>
              </w:rPr>
              <w:t xml:space="preserve"> a fallo</w:t>
            </w:r>
            <w:r>
              <w:rPr>
                <w:rFonts w:ascii="Book Antiqua" w:hAnsi="Book Antiqua" w:cs="Book Antiqua"/>
                <w:color w:val="000000"/>
                <w:lang w:eastAsia="es-CR"/>
              </w:rPr>
              <w:t xml:space="preserve"> en los Tribunales de Apelación Civil y Laboral, en este caso se deberá de </w:t>
            </w:r>
            <w:r w:rsidRPr="00302589">
              <w:rPr>
                <w:rFonts w:ascii="Book Antiqua" w:hAnsi="Book Antiqua" w:cs="Book Antiqua"/>
                <w:color w:val="000000"/>
                <w:lang w:eastAsia="es-CR"/>
              </w:rPr>
              <w:t>analizar</w:t>
            </w:r>
            <w:r>
              <w:rPr>
                <w:rFonts w:ascii="Book Antiqua" w:hAnsi="Book Antiqua" w:cs="Book Antiqua"/>
                <w:color w:val="000000"/>
                <w:lang w:eastAsia="es-CR"/>
              </w:rPr>
              <w:t xml:space="preserve"> las</w:t>
            </w:r>
            <w:r w:rsidRPr="00601E87">
              <w:rPr>
                <w:rFonts w:ascii="Book Antiqua" w:hAnsi="Book Antiqua" w:cs="Book Antiqua"/>
                <w:color w:val="000000"/>
                <w:lang w:eastAsia="es-CR"/>
              </w:rPr>
              <w:t xml:space="preserve"> tareas</w:t>
            </w:r>
            <w:r>
              <w:rPr>
                <w:rFonts w:ascii="Book Antiqua" w:hAnsi="Book Antiqua" w:cs="Book Antiqua"/>
                <w:color w:val="000000"/>
                <w:lang w:eastAsia="es-CR"/>
              </w:rPr>
              <w:t xml:space="preserve"> a utilizar, así como en </w:t>
            </w:r>
            <w:r w:rsidRPr="00302589">
              <w:rPr>
                <w:rFonts w:ascii="Book Antiqua" w:hAnsi="Book Antiqua" w:cs="Book Antiqua"/>
                <w:color w:val="000000"/>
                <w:lang w:eastAsia="es-CR"/>
              </w:rPr>
              <w:t>qué</w:t>
            </w:r>
            <w:r w:rsidRPr="00601E87">
              <w:rPr>
                <w:rFonts w:ascii="Book Antiqua" w:hAnsi="Book Antiqua" w:cs="Book Antiqua"/>
                <w:color w:val="000000"/>
                <w:lang w:eastAsia="es-CR"/>
              </w:rPr>
              <w:t xml:space="preserve"> momento se</w:t>
            </w:r>
            <w:r>
              <w:rPr>
                <w:rFonts w:ascii="Book Antiqua" w:hAnsi="Book Antiqua" w:cs="Book Antiqua"/>
                <w:color w:val="000000"/>
                <w:lang w:eastAsia="es-CR"/>
              </w:rPr>
              <w:t xml:space="preserve"> deberá de utilizar</w:t>
            </w:r>
            <w:r w:rsidRPr="00601E87">
              <w:rPr>
                <w:rFonts w:ascii="Book Antiqua" w:hAnsi="Book Antiqua" w:cs="Book Antiqua"/>
                <w:color w:val="000000"/>
                <w:lang w:eastAsia="es-CR"/>
              </w:rPr>
              <w:t xml:space="preserve"> </w:t>
            </w:r>
            <w:r>
              <w:rPr>
                <w:rFonts w:ascii="Book Antiqua" w:hAnsi="Book Antiqua" w:cs="Book Antiqua"/>
                <w:color w:val="000000"/>
                <w:lang w:eastAsia="es-CR"/>
              </w:rPr>
              <w:t>la mejora</w:t>
            </w:r>
            <w:r w:rsidRPr="00601E87">
              <w:rPr>
                <w:rFonts w:ascii="Book Antiqua" w:hAnsi="Book Antiqua" w:cs="Book Antiqua"/>
                <w:color w:val="000000"/>
                <w:lang w:eastAsia="es-CR"/>
              </w:rPr>
              <w:t xml:space="preserve">. </w:t>
            </w:r>
          </w:p>
        </w:tc>
      </w:tr>
      <w:tr w:rsidR="00DB37B6" w:rsidRPr="00412A1D" w14:paraId="7AEC50B8" w14:textId="77777777" w:rsidTr="00EB031E">
        <w:trPr>
          <w:trHeight w:val="322"/>
        </w:trPr>
        <w:tc>
          <w:tcPr>
            <w:tcW w:w="10539" w:type="dxa"/>
            <w:gridSpan w:val="3"/>
            <w:shd w:val="clear" w:color="auto" w:fill="EAF1DD" w:themeFill="accent3" w:themeFillTint="33"/>
            <w:vAlign w:val="center"/>
          </w:tcPr>
          <w:p w14:paraId="53D058D2" w14:textId="77777777" w:rsidR="00DB37B6" w:rsidRPr="00601E87" w:rsidRDefault="00DB37B6" w:rsidP="00EB031E">
            <w:pPr>
              <w:autoSpaceDE w:val="0"/>
              <w:autoSpaceDN w:val="0"/>
              <w:adjustRightInd w:val="0"/>
              <w:jc w:val="center"/>
              <w:rPr>
                <w:rFonts w:ascii="Book Antiqua" w:hAnsi="Book Antiqua" w:cs="Book Antiqua"/>
                <w:b/>
                <w:bCs/>
                <w:color w:val="000000"/>
                <w:lang w:eastAsia="es-CR"/>
              </w:rPr>
            </w:pPr>
            <w:r w:rsidRPr="00601E87">
              <w:rPr>
                <w:rFonts w:ascii="Book Antiqua" w:hAnsi="Book Antiqua" w:cs="Book Antiqua"/>
                <w:b/>
                <w:bCs/>
                <w:color w:val="000000"/>
                <w:lang w:eastAsia="es-CR"/>
              </w:rPr>
              <w:t xml:space="preserve">Observaciones </w:t>
            </w:r>
            <w:r w:rsidRPr="00601E87">
              <w:rPr>
                <w:rFonts w:ascii="Book Antiqua" w:hAnsi="Book Antiqua" w:cs="Book Antiqua"/>
                <w:b/>
                <w:bCs/>
              </w:rPr>
              <w:t>Tribunal de Apelación Civil y Laboral de Cartago</w:t>
            </w:r>
          </w:p>
        </w:tc>
      </w:tr>
      <w:tr w:rsidR="00DB37B6" w:rsidRPr="00412A1D" w14:paraId="1D86F6E5" w14:textId="77777777" w:rsidTr="00EB031E">
        <w:trPr>
          <w:trHeight w:val="322"/>
        </w:trPr>
        <w:tc>
          <w:tcPr>
            <w:tcW w:w="527" w:type="dxa"/>
            <w:shd w:val="clear" w:color="auto" w:fill="215868" w:themeFill="accent5" w:themeFillShade="80"/>
            <w:vAlign w:val="center"/>
          </w:tcPr>
          <w:p w14:paraId="56E19A47" w14:textId="77777777" w:rsidR="00DB37B6" w:rsidRPr="00601E87" w:rsidRDefault="00DB37B6" w:rsidP="00EB031E">
            <w:pPr>
              <w:autoSpaceDE w:val="0"/>
              <w:autoSpaceDN w:val="0"/>
              <w:adjustRightInd w:val="0"/>
              <w:jc w:val="center"/>
              <w:rPr>
                <w:rFonts w:ascii="Book Antiqua" w:hAnsi="Book Antiqua" w:cs="Book Antiqua"/>
                <w:b/>
                <w:bCs/>
                <w:color w:val="000000"/>
                <w:lang w:eastAsia="es-CR"/>
              </w:rPr>
            </w:pPr>
            <w:r w:rsidRPr="00601E87">
              <w:rPr>
                <w:rFonts w:ascii="Book Antiqua" w:hAnsi="Book Antiqua" w:cs="Book Antiqua"/>
                <w:b/>
                <w:bCs/>
                <w:color w:val="FFFFFF" w:themeColor="background1"/>
                <w:lang w:eastAsia="es-CR"/>
              </w:rPr>
              <w:t>N°</w:t>
            </w:r>
          </w:p>
        </w:tc>
        <w:tc>
          <w:tcPr>
            <w:tcW w:w="6996" w:type="dxa"/>
            <w:shd w:val="clear" w:color="auto" w:fill="215868" w:themeFill="accent5" w:themeFillShade="80"/>
            <w:vAlign w:val="center"/>
          </w:tcPr>
          <w:p w14:paraId="27E88450" w14:textId="77777777" w:rsidR="00DB37B6" w:rsidRPr="00601E87" w:rsidRDefault="00DB37B6" w:rsidP="00EB031E">
            <w:pPr>
              <w:contextualSpacing/>
              <w:jc w:val="center"/>
              <w:rPr>
                <w:rFonts w:ascii="Book Antiqua" w:hAnsi="Book Antiqua" w:cs="Book Antiqua"/>
              </w:rPr>
            </w:pPr>
            <w:r w:rsidRPr="00601E87">
              <w:rPr>
                <w:rFonts w:ascii="Book Antiqua" w:hAnsi="Book Antiqua" w:cs="Book Antiqua"/>
                <w:b/>
                <w:bCs/>
                <w:color w:val="FFFFFF" w:themeColor="background1"/>
                <w:lang w:eastAsia="es-CR"/>
              </w:rPr>
              <w:t>Observación</w:t>
            </w:r>
          </w:p>
        </w:tc>
        <w:tc>
          <w:tcPr>
            <w:tcW w:w="3016" w:type="dxa"/>
            <w:shd w:val="clear" w:color="auto" w:fill="215868" w:themeFill="accent5" w:themeFillShade="80"/>
            <w:vAlign w:val="center"/>
          </w:tcPr>
          <w:p w14:paraId="1E28C7D5" w14:textId="77777777" w:rsidR="00DB37B6" w:rsidRPr="00601E87" w:rsidRDefault="00DB37B6" w:rsidP="00EB031E">
            <w:pPr>
              <w:autoSpaceDE w:val="0"/>
              <w:autoSpaceDN w:val="0"/>
              <w:adjustRightInd w:val="0"/>
              <w:jc w:val="center"/>
              <w:rPr>
                <w:rFonts w:ascii="Book Antiqua" w:hAnsi="Book Antiqua" w:cs="Book Antiqua"/>
                <w:color w:val="000000"/>
                <w:lang w:eastAsia="es-CR"/>
              </w:rPr>
            </w:pPr>
            <w:r w:rsidRPr="00601E87">
              <w:rPr>
                <w:rFonts w:ascii="Book Antiqua" w:hAnsi="Book Antiqua" w:cs="Book Antiqua"/>
                <w:b/>
                <w:bCs/>
                <w:color w:val="FFFFFF" w:themeColor="background1"/>
                <w:lang w:eastAsia="es-CR"/>
              </w:rPr>
              <w:t>Criterio de la Dirección de Planificación</w:t>
            </w:r>
          </w:p>
        </w:tc>
      </w:tr>
      <w:tr w:rsidR="00DB37B6" w:rsidRPr="00412A1D" w14:paraId="64BC800A" w14:textId="77777777" w:rsidTr="00EB031E">
        <w:trPr>
          <w:trHeight w:val="322"/>
        </w:trPr>
        <w:tc>
          <w:tcPr>
            <w:tcW w:w="527" w:type="dxa"/>
            <w:vAlign w:val="center"/>
          </w:tcPr>
          <w:p w14:paraId="5DBA71BA" w14:textId="77777777" w:rsidR="00DB37B6" w:rsidRPr="00601E87" w:rsidRDefault="00DB37B6" w:rsidP="00EB031E">
            <w:pPr>
              <w:autoSpaceDE w:val="0"/>
              <w:autoSpaceDN w:val="0"/>
              <w:adjustRightInd w:val="0"/>
              <w:jc w:val="both"/>
              <w:rPr>
                <w:rFonts w:ascii="Book Antiqua" w:hAnsi="Book Antiqua" w:cs="Book Antiqua"/>
                <w:b/>
                <w:bCs/>
                <w:color w:val="000000"/>
                <w:lang w:eastAsia="es-CR"/>
              </w:rPr>
            </w:pPr>
          </w:p>
        </w:tc>
        <w:tc>
          <w:tcPr>
            <w:tcW w:w="6996" w:type="dxa"/>
            <w:vAlign w:val="center"/>
          </w:tcPr>
          <w:p w14:paraId="54A9D1CC" w14:textId="77777777" w:rsidR="00DB37B6" w:rsidRPr="00601E87" w:rsidRDefault="00DB37B6" w:rsidP="00EB031E">
            <w:pPr>
              <w:jc w:val="both"/>
              <w:rPr>
                <w:rFonts w:ascii="Book Antiqua" w:hAnsi="Book Antiqua" w:cs="Book Antiqua"/>
              </w:rPr>
            </w:pPr>
            <w:r w:rsidRPr="00601E87">
              <w:rPr>
                <w:rFonts w:ascii="Book Antiqua" w:hAnsi="Book Antiqua" w:cs="Book Antiqua"/>
              </w:rPr>
              <w:t>Oficio remitido por medio de correo electrónico el 01 de julio de 2021, por parte del Msc. Oscar Enrique Cruz Conejo, Juez Coordinador, Tribunal de Apelación Civil y Laboral de Cartago (</w:t>
            </w:r>
            <w:r w:rsidRPr="00601E87">
              <w:rPr>
                <w:rFonts w:ascii="Book Antiqua" w:hAnsi="Book Antiqua" w:cs="Book Antiqua"/>
                <w:i/>
                <w:iCs/>
              </w:rPr>
              <w:t>se adjunta en anexo 16</w:t>
            </w:r>
            <w:r w:rsidRPr="00601E87">
              <w:rPr>
                <w:rFonts w:ascii="Book Antiqua" w:hAnsi="Book Antiqua" w:cs="Book Antiqua"/>
              </w:rPr>
              <w:t>), se indicó:</w:t>
            </w:r>
          </w:p>
          <w:p w14:paraId="11E26829" w14:textId="77777777" w:rsidR="00DB37B6" w:rsidRPr="00601E87" w:rsidRDefault="00DB37B6" w:rsidP="00EB031E">
            <w:pPr>
              <w:jc w:val="both"/>
              <w:rPr>
                <w:rFonts w:ascii="Book Antiqua" w:hAnsi="Book Antiqua" w:cs="Book Antiqua"/>
              </w:rPr>
            </w:pPr>
          </w:p>
          <w:p w14:paraId="35C2B9B2" w14:textId="77777777" w:rsidR="00DB37B6" w:rsidRPr="00601E87" w:rsidRDefault="00DB37B6" w:rsidP="00EB031E">
            <w:pPr>
              <w:jc w:val="both"/>
              <w:rPr>
                <w:rFonts w:ascii="Book Antiqua" w:hAnsi="Book Antiqua" w:cs="Book Antiqua"/>
              </w:rPr>
            </w:pPr>
          </w:p>
          <w:p w14:paraId="3E78E324" w14:textId="77777777" w:rsidR="00535C15" w:rsidRDefault="00DB37B6" w:rsidP="00EB031E">
            <w:pPr>
              <w:jc w:val="both"/>
              <w:rPr>
                <w:rFonts w:ascii="Book Antiqua" w:hAnsi="Book Antiqua" w:cs="Book Antiqua"/>
                <w:i/>
                <w:iCs/>
              </w:rPr>
            </w:pPr>
            <w:r w:rsidRPr="00601E87">
              <w:rPr>
                <w:rFonts w:ascii="Book Antiqua" w:hAnsi="Book Antiqua" w:cs="Book Antiqua"/>
                <w:i/>
                <w:iCs/>
              </w:rPr>
              <w:t>“…En el informe para el Tribunal de Apelación Civil y de Trabajo de Cartago se recomienda aprobar una cuota de trabajo de 7 expedientes en civil y 10 en laboral, lo anterior a partir de la carga de trabajo ingresada en el despacho en el período del 2018-2019, con una carga en civil de 649 expedientes y en laboral de 925 expedientes. No obstante, se hace ver que posterior a ese período, esa no ha sido la constante del Tribunal, sino que para los años 2020 y 2021 la materia que ha representado la mayor entrada de asuntos es la civil, ergo el comportamiento de la oficina no ha sido igual ni similar al período 2018-2019.</w:t>
            </w:r>
          </w:p>
          <w:p w14:paraId="0A5AC27A" w14:textId="67518C1B" w:rsidR="00DB37B6" w:rsidRPr="00601E87" w:rsidRDefault="00DB37B6" w:rsidP="00EB031E">
            <w:pPr>
              <w:jc w:val="both"/>
              <w:rPr>
                <w:rFonts w:ascii="Book Antiqua" w:hAnsi="Book Antiqua" w:cs="Book Antiqua"/>
                <w:i/>
                <w:iCs/>
              </w:rPr>
            </w:pPr>
            <w:r w:rsidRPr="00601E87">
              <w:rPr>
                <w:rFonts w:ascii="Book Antiqua" w:hAnsi="Book Antiqua" w:cs="Book Antiqua"/>
                <w:i/>
                <w:iCs/>
              </w:rPr>
              <w:t xml:space="preserve"> </w:t>
            </w:r>
          </w:p>
          <w:p w14:paraId="56E36982" w14:textId="3C79FD6B" w:rsidR="00DB37B6" w:rsidRDefault="00DB37B6" w:rsidP="00EB031E">
            <w:pPr>
              <w:jc w:val="both"/>
              <w:rPr>
                <w:rFonts w:ascii="Book Antiqua" w:hAnsi="Book Antiqua" w:cs="Book Antiqua"/>
                <w:i/>
                <w:iCs/>
              </w:rPr>
            </w:pPr>
            <w:r w:rsidRPr="00601E87">
              <w:rPr>
                <w:rFonts w:ascii="Book Antiqua" w:hAnsi="Book Antiqua" w:cs="Book Antiqua"/>
                <w:i/>
                <w:iCs/>
              </w:rPr>
              <w:tab/>
              <w:t xml:space="preserve">De acuerdo a los informes estadísticos, el circulante ingresado del 01 de enero del 2020 al 30 de junio del 2021 en civil corresponde a 568 expedientes y en laboral de 512 expedientes, e incluso si se toma en cuenta el último año </w:t>
            </w:r>
            <w:r w:rsidR="00CB40A4" w:rsidRPr="00601E87">
              <w:rPr>
                <w:rFonts w:ascii="Book Antiqua" w:hAnsi="Book Antiqua" w:cs="Book Antiqua"/>
                <w:i/>
                <w:iCs/>
              </w:rPr>
              <w:t>sea del</w:t>
            </w:r>
            <w:r w:rsidRPr="00601E87">
              <w:rPr>
                <w:rFonts w:ascii="Book Antiqua" w:hAnsi="Book Antiqua" w:cs="Book Antiqua"/>
                <w:i/>
                <w:iCs/>
              </w:rPr>
              <w:t xml:space="preserve"> 10 del junio del 2020 al 28 de junio de junio del 2021 se reporta un circulante de civil de 412 y de laboral de 347.</w:t>
            </w:r>
          </w:p>
          <w:p w14:paraId="4F690B56" w14:textId="77777777" w:rsidR="00535C15" w:rsidRPr="00601E87" w:rsidRDefault="00535C15" w:rsidP="00EB031E">
            <w:pPr>
              <w:jc w:val="both"/>
              <w:rPr>
                <w:rFonts w:ascii="Book Antiqua" w:hAnsi="Book Antiqua" w:cs="Book Antiqua"/>
                <w:i/>
                <w:iCs/>
              </w:rPr>
            </w:pPr>
          </w:p>
          <w:p w14:paraId="6D5379FD" w14:textId="7CF8C0FC" w:rsidR="00DB37B6" w:rsidRPr="00601E87" w:rsidRDefault="00DB37B6" w:rsidP="00EB031E">
            <w:pPr>
              <w:jc w:val="both"/>
              <w:rPr>
                <w:rFonts w:ascii="Book Antiqua" w:hAnsi="Book Antiqua" w:cs="Book Antiqua"/>
                <w:i/>
                <w:iCs/>
              </w:rPr>
            </w:pPr>
            <w:r w:rsidRPr="00601E87">
              <w:rPr>
                <w:rFonts w:ascii="Book Antiqua" w:hAnsi="Book Antiqua" w:cs="Book Antiqua"/>
              </w:rPr>
              <w:tab/>
            </w:r>
            <w:r w:rsidRPr="00601E87">
              <w:rPr>
                <w:rFonts w:ascii="Book Antiqua" w:hAnsi="Book Antiqua" w:cs="Book Antiqua"/>
                <w:i/>
                <w:iCs/>
              </w:rPr>
              <w:t xml:space="preserve">Es por lo anterior, que se solicita, si a bien lo tienen, tomar en cuenta que la constante en el circulante del despacho no se ha mantenido igual ni similar en el último año y medio, y bajo la carga de trabajo actual que presenta el despacho, no sería conveniente ajustarse a la cuota de trabajo de 7 expedientes en civil y 10 en laboral, por el evidente desequilibrio que se produciría, situación que se ha venido atendiendo a través de los planes </w:t>
            </w:r>
            <w:r w:rsidR="000B0027" w:rsidRPr="00601E87">
              <w:rPr>
                <w:rFonts w:ascii="Book Antiqua" w:hAnsi="Book Antiqua" w:cs="Book Antiqua"/>
                <w:i/>
                <w:iCs/>
              </w:rPr>
              <w:t>remediales. -</w:t>
            </w:r>
            <w:r w:rsidRPr="00601E87">
              <w:rPr>
                <w:rFonts w:ascii="Book Antiqua" w:hAnsi="Book Antiqua" w:cs="Book Antiqua"/>
                <w:i/>
                <w:iCs/>
              </w:rPr>
              <w:t>…”</w:t>
            </w:r>
          </w:p>
        </w:tc>
        <w:tc>
          <w:tcPr>
            <w:tcW w:w="3016" w:type="dxa"/>
            <w:vAlign w:val="center"/>
          </w:tcPr>
          <w:p w14:paraId="367BCFFA" w14:textId="5D547FFE" w:rsidR="00DB37B6" w:rsidRDefault="00DB37B6" w:rsidP="00EB031E">
            <w:pPr>
              <w:autoSpaceDE w:val="0"/>
              <w:autoSpaceDN w:val="0"/>
              <w:adjustRightInd w:val="0"/>
              <w:jc w:val="both"/>
              <w:rPr>
                <w:rFonts w:ascii="Book Antiqua" w:hAnsi="Book Antiqua" w:cs="Book Antiqua"/>
                <w:color w:val="000000"/>
                <w:lang w:eastAsia="es-CR"/>
              </w:rPr>
            </w:pPr>
            <w:r>
              <w:rPr>
                <w:rFonts w:ascii="Book Antiqua" w:hAnsi="Book Antiqua" w:cs="Book Antiqua"/>
                <w:color w:val="000000"/>
                <w:lang w:eastAsia="es-CR"/>
              </w:rPr>
              <w:t xml:space="preserve">Se toma nota. </w:t>
            </w:r>
            <w:r w:rsidR="00C33E57">
              <w:rPr>
                <w:rFonts w:ascii="Book Antiqua" w:hAnsi="Book Antiqua" w:cs="Book Antiqua"/>
                <w:color w:val="000000"/>
                <w:lang w:eastAsia="es-CR"/>
              </w:rPr>
              <w:t>La observación modifica</w:t>
            </w:r>
            <w:r>
              <w:rPr>
                <w:rFonts w:ascii="Book Antiqua" w:hAnsi="Book Antiqua" w:cs="Book Antiqua"/>
                <w:color w:val="000000"/>
                <w:lang w:eastAsia="es-CR"/>
              </w:rPr>
              <w:t xml:space="preserve"> el contenido del informe</w:t>
            </w:r>
            <w:r w:rsidR="00C33E57">
              <w:rPr>
                <w:rFonts w:ascii="Book Antiqua" w:hAnsi="Book Antiqua" w:cs="Book Antiqua"/>
                <w:color w:val="000000"/>
                <w:lang w:eastAsia="es-CR"/>
              </w:rPr>
              <w:t xml:space="preserve">, se actualizan </w:t>
            </w:r>
            <w:r>
              <w:rPr>
                <w:rFonts w:ascii="Book Antiqua" w:hAnsi="Book Antiqua" w:cs="Book Antiqua"/>
                <w:color w:val="000000"/>
                <w:lang w:eastAsia="es-CR"/>
              </w:rPr>
              <w:t xml:space="preserve">los datos estadísticos </w:t>
            </w:r>
            <w:r w:rsidR="00650FA7">
              <w:rPr>
                <w:rFonts w:ascii="Book Antiqua" w:hAnsi="Book Antiqua" w:cs="Book Antiqua"/>
                <w:color w:val="000000"/>
                <w:lang w:eastAsia="es-CR"/>
              </w:rPr>
              <w:t xml:space="preserve">con la inclusión de </w:t>
            </w:r>
            <w:r>
              <w:rPr>
                <w:rFonts w:ascii="Book Antiqua" w:hAnsi="Book Antiqua" w:cs="Book Antiqua"/>
                <w:color w:val="000000"/>
                <w:lang w:eastAsia="es-CR"/>
              </w:rPr>
              <w:t xml:space="preserve">2020 y </w:t>
            </w:r>
            <w:r w:rsidR="00C33E57">
              <w:rPr>
                <w:rFonts w:ascii="Book Antiqua" w:hAnsi="Book Antiqua" w:cs="Book Antiqua"/>
                <w:color w:val="000000"/>
                <w:lang w:eastAsia="es-CR"/>
              </w:rPr>
              <w:t>primer semestre del 2021</w:t>
            </w:r>
            <w:r w:rsidR="00650FA7">
              <w:rPr>
                <w:rFonts w:ascii="Book Antiqua" w:hAnsi="Book Antiqua" w:cs="Book Antiqua"/>
                <w:color w:val="000000"/>
                <w:lang w:eastAsia="es-CR"/>
              </w:rPr>
              <w:t xml:space="preserve">, este último con </w:t>
            </w:r>
            <w:r>
              <w:rPr>
                <w:rFonts w:ascii="Book Antiqua" w:hAnsi="Book Antiqua" w:cs="Book Antiqua"/>
                <w:color w:val="000000"/>
                <w:lang w:eastAsia="es-CR"/>
              </w:rPr>
              <w:t xml:space="preserve">datos </w:t>
            </w:r>
            <w:r w:rsidR="00C33E57">
              <w:rPr>
                <w:rFonts w:ascii="Book Antiqua" w:hAnsi="Book Antiqua" w:cs="Book Antiqua"/>
                <w:color w:val="000000"/>
                <w:lang w:eastAsia="es-CR"/>
              </w:rPr>
              <w:t xml:space="preserve">obtenidos </w:t>
            </w:r>
            <w:r>
              <w:rPr>
                <w:rFonts w:ascii="Book Antiqua" w:hAnsi="Book Antiqua" w:cs="Book Antiqua"/>
                <w:color w:val="000000"/>
                <w:lang w:eastAsia="es-CR"/>
              </w:rPr>
              <w:t xml:space="preserve">de SIGMA. </w:t>
            </w:r>
          </w:p>
          <w:p w14:paraId="46E68768" w14:textId="77777777" w:rsidR="00DB37B6" w:rsidRDefault="00DB37B6" w:rsidP="00EB031E">
            <w:pPr>
              <w:autoSpaceDE w:val="0"/>
              <w:autoSpaceDN w:val="0"/>
              <w:adjustRightInd w:val="0"/>
              <w:jc w:val="both"/>
              <w:rPr>
                <w:rFonts w:ascii="Book Antiqua" w:hAnsi="Book Antiqua" w:cs="Book Antiqua"/>
                <w:color w:val="000000"/>
                <w:lang w:eastAsia="es-CR"/>
              </w:rPr>
            </w:pPr>
          </w:p>
          <w:p w14:paraId="14E5759A" w14:textId="77777777" w:rsidR="00DB37B6" w:rsidRDefault="00DB37B6" w:rsidP="00EB031E">
            <w:pPr>
              <w:autoSpaceDE w:val="0"/>
              <w:autoSpaceDN w:val="0"/>
              <w:adjustRightInd w:val="0"/>
              <w:jc w:val="both"/>
              <w:rPr>
                <w:rFonts w:ascii="Book Antiqua" w:hAnsi="Book Antiqua" w:cs="Book Antiqua"/>
                <w:color w:val="000000"/>
                <w:lang w:eastAsia="es-CR"/>
              </w:rPr>
            </w:pPr>
          </w:p>
          <w:p w14:paraId="41DD6019" w14:textId="77777777" w:rsidR="00DB37B6" w:rsidRPr="00601E87" w:rsidRDefault="00DB37B6" w:rsidP="00EB031E">
            <w:pPr>
              <w:autoSpaceDE w:val="0"/>
              <w:autoSpaceDN w:val="0"/>
              <w:adjustRightInd w:val="0"/>
              <w:jc w:val="both"/>
              <w:rPr>
                <w:rFonts w:ascii="Book Antiqua" w:hAnsi="Book Antiqua" w:cs="Book Antiqua"/>
                <w:color w:val="000000"/>
                <w:lang w:eastAsia="es-CR"/>
              </w:rPr>
            </w:pPr>
          </w:p>
        </w:tc>
      </w:tr>
      <w:tr w:rsidR="00DB37B6" w:rsidRPr="00412A1D" w14:paraId="5C09E76C" w14:textId="77777777" w:rsidTr="00EB031E">
        <w:trPr>
          <w:trHeight w:val="322"/>
        </w:trPr>
        <w:tc>
          <w:tcPr>
            <w:tcW w:w="10539" w:type="dxa"/>
            <w:gridSpan w:val="3"/>
            <w:shd w:val="clear" w:color="auto" w:fill="EAF1DD" w:themeFill="accent3" w:themeFillTint="33"/>
            <w:vAlign w:val="center"/>
          </w:tcPr>
          <w:p w14:paraId="2E88DB1F" w14:textId="77777777" w:rsidR="00DB37B6" w:rsidRPr="00601E87" w:rsidRDefault="00DB37B6" w:rsidP="00EB031E">
            <w:pPr>
              <w:autoSpaceDE w:val="0"/>
              <w:autoSpaceDN w:val="0"/>
              <w:adjustRightInd w:val="0"/>
              <w:jc w:val="center"/>
              <w:rPr>
                <w:rFonts w:ascii="Book Antiqua" w:hAnsi="Book Antiqua" w:cs="Book Antiqua"/>
                <w:snapToGrid w:val="0"/>
              </w:rPr>
            </w:pPr>
          </w:p>
          <w:p w14:paraId="534B05C8" w14:textId="77777777" w:rsidR="00DB37B6" w:rsidRPr="00601E87" w:rsidRDefault="00DB37B6" w:rsidP="00EB031E">
            <w:pPr>
              <w:shd w:val="clear" w:color="auto" w:fill="EAF1DD" w:themeFill="accent3" w:themeFillTint="33"/>
              <w:autoSpaceDE w:val="0"/>
              <w:autoSpaceDN w:val="0"/>
              <w:adjustRightInd w:val="0"/>
              <w:jc w:val="center"/>
              <w:rPr>
                <w:rFonts w:ascii="Book Antiqua" w:hAnsi="Book Antiqua" w:cs="Book Antiqua"/>
                <w:b/>
                <w:bCs/>
                <w:snapToGrid w:val="0"/>
              </w:rPr>
            </w:pPr>
            <w:r w:rsidRPr="00601E87">
              <w:rPr>
                <w:rFonts w:ascii="Book Antiqua" w:hAnsi="Book Antiqua" w:cs="Book Antiqua"/>
                <w:b/>
                <w:bCs/>
                <w:snapToGrid w:val="0"/>
              </w:rPr>
              <w:t>Centro de Apoyo, Coordinación y Mejoramiento de la Función Jurisdiccional, se remite el oficio No. 215-CACMFJ-JEF-2021</w:t>
            </w:r>
          </w:p>
          <w:p w14:paraId="0029BB7A" w14:textId="77777777" w:rsidR="00DB37B6" w:rsidRPr="00601E87" w:rsidRDefault="00DB37B6" w:rsidP="00EB031E">
            <w:pPr>
              <w:autoSpaceDE w:val="0"/>
              <w:autoSpaceDN w:val="0"/>
              <w:adjustRightInd w:val="0"/>
              <w:jc w:val="center"/>
              <w:rPr>
                <w:rFonts w:ascii="Book Antiqua" w:hAnsi="Book Antiqua" w:cs="Book Antiqua"/>
                <w:color w:val="000000"/>
                <w:lang w:eastAsia="es-CR"/>
              </w:rPr>
            </w:pPr>
          </w:p>
        </w:tc>
      </w:tr>
      <w:tr w:rsidR="00DB37B6" w:rsidRPr="00412A1D" w14:paraId="2BEEB9A7" w14:textId="77777777" w:rsidTr="00EB031E">
        <w:trPr>
          <w:trHeight w:val="322"/>
        </w:trPr>
        <w:tc>
          <w:tcPr>
            <w:tcW w:w="527" w:type="dxa"/>
            <w:shd w:val="clear" w:color="auto" w:fill="215868" w:themeFill="accent5" w:themeFillShade="80"/>
            <w:vAlign w:val="center"/>
          </w:tcPr>
          <w:p w14:paraId="03000B9B" w14:textId="77777777" w:rsidR="00DB37B6" w:rsidRPr="00601E87" w:rsidRDefault="00DB37B6" w:rsidP="00EB031E">
            <w:pPr>
              <w:autoSpaceDE w:val="0"/>
              <w:autoSpaceDN w:val="0"/>
              <w:adjustRightInd w:val="0"/>
              <w:jc w:val="center"/>
              <w:rPr>
                <w:rFonts w:ascii="Book Antiqua" w:hAnsi="Book Antiqua" w:cs="Book Antiqua"/>
                <w:b/>
                <w:bCs/>
                <w:color w:val="000000"/>
                <w:lang w:eastAsia="es-CR"/>
              </w:rPr>
            </w:pPr>
            <w:r w:rsidRPr="00601E87">
              <w:rPr>
                <w:rFonts w:ascii="Book Antiqua" w:hAnsi="Book Antiqua" w:cs="Book Antiqua"/>
                <w:b/>
                <w:bCs/>
                <w:color w:val="FFFFFF" w:themeColor="background1"/>
                <w:lang w:eastAsia="es-CR"/>
              </w:rPr>
              <w:t>N°</w:t>
            </w:r>
          </w:p>
        </w:tc>
        <w:tc>
          <w:tcPr>
            <w:tcW w:w="6996" w:type="dxa"/>
            <w:shd w:val="clear" w:color="auto" w:fill="215868" w:themeFill="accent5" w:themeFillShade="80"/>
            <w:vAlign w:val="center"/>
          </w:tcPr>
          <w:p w14:paraId="33C9F45A" w14:textId="77777777" w:rsidR="00DB37B6" w:rsidRPr="00601E87" w:rsidRDefault="00DB37B6" w:rsidP="00EB031E">
            <w:pPr>
              <w:contextualSpacing/>
              <w:jc w:val="center"/>
              <w:rPr>
                <w:rFonts w:ascii="Book Antiqua" w:hAnsi="Book Antiqua" w:cs="Book Antiqua"/>
              </w:rPr>
            </w:pPr>
            <w:r w:rsidRPr="00601E87">
              <w:rPr>
                <w:rFonts w:ascii="Book Antiqua" w:hAnsi="Book Antiqua" w:cs="Book Antiqua"/>
                <w:b/>
                <w:bCs/>
                <w:color w:val="FFFFFF" w:themeColor="background1"/>
                <w:lang w:eastAsia="es-CR"/>
              </w:rPr>
              <w:t>Observación</w:t>
            </w:r>
          </w:p>
        </w:tc>
        <w:tc>
          <w:tcPr>
            <w:tcW w:w="3016" w:type="dxa"/>
            <w:shd w:val="clear" w:color="auto" w:fill="215868" w:themeFill="accent5" w:themeFillShade="80"/>
            <w:vAlign w:val="center"/>
          </w:tcPr>
          <w:p w14:paraId="65AFFFA1" w14:textId="77777777" w:rsidR="00DB37B6" w:rsidRPr="00601E87" w:rsidRDefault="00DB37B6" w:rsidP="00EB031E">
            <w:pPr>
              <w:autoSpaceDE w:val="0"/>
              <w:autoSpaceDN w:val="0"/>
              <w:adjustRightInd w:val="0"/>
              <w:jc w:val="center"/>
              <w:rPr>
                <w:rFonts w:ascii="Book Antiqua" w:hAnsi="Book Antiqua" w:cs="Book Antiqua"/>
                <w:color w:val="000000"/>
                <w:lang w:eastAsia="es-CR"/>
              </w:rPr>
            </w:pPr>
            <w:r w:rsidRPr="00601E87">
              <w:rPr>
                <w:rFonts w:ascii="Book Antiqua" w:hAnsi="Book Antiqua" w:cs="Book Antiqua"/>
                <w:b/>
                <w:bCs/>
                <w:color w:val="FFFFFF" w:themeColor="background1"/>
                <w:lang w:eastAsia="es-CR"/>
              </w:rPr>
              <w:t>Criterio de la Dirección de Planificación</w:t>
            </w:r>
          </w:p>
        </w:tc>
      </w:tr>
      <w:tr w:rsidR="00DB37B6" w:rsidRPr="00412A1D" w14:paraId="37C152E9" w14:textId="77777777" w:rsidTr="00EB031E">
        <w:trPr>
          <w:trHeight w:val="322"/>
        </w:trPr>
        <w:tc>
          <w:tcPr>
            <w:tcW w:w="527" w:type="dxa"/>
            <w:vAlign w:val="center"/>
          </w:tcPr>
          <w:p w14:paraId="0055004E" w14:textId="77777777" w:rsidR="00DB37B6" w:rsidRPr="00601E87" w:rsidRDefault="00DB37B6" w:rsidP="00EB031E">
            <w:pPr>
              <w:autoSpaceDE w:val="0"/>
              <w:autoSpaceDN w:val="0"/>
              <w:adjustRightInd w:val="0"/>
              <w:jc w:val="both"/>
              <w:rPr>
                <w:rFonts w:ascii="Book Antiqua" w:hAnsi="Book Antiqua" w:cs="Book Antiqua"/>
                <w:b/>
                <w:bCs/>
                <w:color w:val="FFFFFF" w:themeColor="background1"/>
                <w:lang w:eastAsia="es-CR"/>
              </w:rPr>
            </w:pPr>
          </w:p>
        </w:tc>
        <w:tc>
          <w:tcPr>
            <w:tcW w:w="6996" w:type="dxa"/>
            <w:vAlign w:val="center"/>
          </w:tcPr>
          <w:p w14:paraId="57F9727F" w14:textId="77777777" w:rsidR="00DB37B6" w:rsidRPr="00601E87" w:rsidRDefault="00DB37B6" w:rsidP="00EB031E">
            <w:pPr>
              <w:widowControl w:val="0"/>
              <w:autoSpaceDE w:val="0"/>
              <w:autoSpaceDN w:val="0"/>
              <w:adjustRightInd w:val="0"/>
              <w:spacing w:before="240"/>
              <w:jc w:val="both"/>
              <w:rPr>
                <w:rFonts w:ascii="Book Antiqua" w:hAnsi="Book Antiqua" w:cs="Book Antiqua"/>
              </w:rPr>
            </w:pPr>
            <w:r w:rsidRPr="00601E87">
              <w:rPr>
                <w:rFonts w:ascii="Book Antiqua" w:hAnsi="Book Antiqua" w:cs="Book Antiqua"/>
              </w:rPr>
              <w:t xml:space="preserve"> Mediante oficio 215-CACMFJ-JEF-2021 </w:t>
            </w:r>
            <w:r>
              <w:rPr>
                <w:rFonts w:ascii="Book Antiqua" w:hAnsi="Book Antiqua" w:cs="Book Antiqua"/>
              </w:rPr>
              <w:t xml:space="preserve">remitido el 07 de julio de 2021, mismo </w:t>
            </w:r>
            <w:r w:rsidRPr="00601E87">
              <w:rPr>
                <w:rFonts w:ascii="Book Antiqua" w:hAnsi="Book Antiqua" w:cs="Book Antiqua"/>
              </w:rPr>
              <w:t xml:space="preserve">suscrito máster Maricruz Chacón Cubillo, Directora del Centro de Apoyo, Coordinación y Mejoramiento de la Función Jurisdiccional </w:t>
            </w:r>
            <w:r w:rsidRPr="00601E87">
              <w:rPr>
                <w:rFonts w:ascii="Book Antiqua" w:hAnsi="Book Antiqua" w:cs="Book Antiqua"/>
                <w:color w:val="000000" w:themeColor="text1"/>
              </w:rPr>
              <w:t>(</w:t>
            </w:r>
            <w:r w:rsidRPr="00601E87">
              <w:rPr>
                <w:rFonts w:ascii="Book Antiqua" w:hAnsi="Book Antiqua" w:cs="Book Antiqua"/>
                <w:i/>
                <w:iCs/>
                <w:color w:val="000000" w:themeColor="text1"/>
              </w:rPr>
              <w:t>se adjunta en anexo 17</w:t>
            </w:r>
            <w:r w:rsidRPr="00601E87">
              <w:rPr>
                <w:rFonts w:ascii="Book Antiqua" w:hAnsi="Book Antiqua" w:cs="Book Antiqua"/>
                <w:color w:val="000000" w:themeColor="text1"/>
              </w:rPr>
              <w:t xml:space="preserve">), </w:t>
            </w:r>
            <w:r>
              <w:rPr>
                <w:rFonts w:ascii="Book Antiqua" w:hAnsi="Book Antiqua" w:cs="Book Antiqua"/>
                <w:color w:val="000000" w:themeColor="text1"/>
              </w:rPr>
              <w:t>en el cual se remiten las siguientes observaciones</w:t>
            </w:r>
            <w:r w:rsidRPr="00601E87">
              <w:rPr>
                <w:rFonts w:ascii="Book Antiqua" w:hAnsi="Book Antiqua" w:cs="Book Antiqua"/>
                <w:color w:val="000000" w:themeColor="text1"/>
              </w:rPr>
              <w:t xml:space="preserve">: </w:t>
            </w:r>
          </w:p>
          <w:p w14:paraId="17AA5AE4" w14:textId="77777777" w:rsidR="00DB37B6" w:rsidRPr="00601E87" w:rsidRDefault="00DB37B6" w:rsidP="00EB031E">
            <w:pPr>
              <w:widowControl w:val="0"/>
              <w:autoSpaceDE w:val="0"/>
              <w:autoSpaceDN w:val="0"/>
              <w:adjustRightInd w:val="0"/>
              <w:spacing w:before="240"/>
              <w:jc w:val="both"/>
              <w:rPr>
                <w:rFonts w:ascii="Book Antiqua" w:hAnsi="Book Antiqua" w:cs="Book Antiqua"/>
                <w:color w:val="000000" w:themeColor="text1"/>
              </w:rPr>
            </w:pPr>
          </w:p>
          <w:p w14:paraId="7D6D9C24" w14:textId="77777777" w:rsidR="00DB37B6" w:rsidRPr="00601E87" w:rsidRDefault="00DB37B6" w:rsidP="00EB031E">
            <w:pPr>
              <w:widowControl w:val="0"/>
              <w:autoSpaceDE w:val="0"/>
              <w:autoSpaceDN w:val="0"/>
              <w:adjustRightInd w:val="0"/>
              <w:spacing w:before="240"/>
              <w:jc w:val="both"/>
              <w:rPr>
                <w:rFonts w:ascii="Book Antiqua" w:hAnsi="Book Antiqua" w:cs="Book Antiqua"/>
                <w:b/>
                <w:bCs/>
                <w:color w:val="000000" w:themeColor="text1"/>
                <w:lang w:eastAsia="es-CR"/>
              </w:rPr>
            </w:pPr>
            <w:r w:rsidRPr="00601E87">
              <w:rPr>
                <w:rFonts w:ascii="Book Antiqua" w:hAnsi="Book Antiqua" w:cs="Book Antiqua"/>
                <w:b/>
                <w:bCs/>
                <w:color w:val="000000" w:themeColor="text1"/>
                <w:lang w:eastAsia="es-CR"/>
              </w:rPr>
              <w:t xml:space="preserve">Página </w:t>
            </w:r>
            <w:r w:rsidRPr="00601E87">
              <w:rPr>
                <w:rFonts w:ascii="Book Antiqua" w:hAnsi="Book Antiqua" w:cs="Book Antiqua"/>
                <w:snapToGrid w:val="0"/>
              </w:rPr>
              <w:t>Apartado 3. Análisis de cargas de trabajo:</w:t>
            </w:r>
          </w:p>
          <w:p w14:paraId="710BFD92" w14:textId="77777777" w:rsidR="00DB37B6" w:rsidRPr="00601E87" w:rsidRDefault="00DB37B6" w:rsidP="00EB031E">
            <w:pPr>
              <w:widowControl w:val="0"/>
              <w:autoSpaceDE w:val="0"/>
              <w:autoSpaceDN w:val="0"/>
              <w:adjustRightInd w:val="0"/>
              <w:spacing w:before="240"/>
              <w:jc w:val="both"/>
              <w:rPr>
                <w:rFonts w:ascii="Book Antiqua" w:hAnsi="Book Antiqua" w:cs="Book Antiqua"/>
                <w:snapToGrid w:val="0"/>
              </w:rPr>
            </w:pPr>
            <w:r w:rsidRPr="00601E87">
              <w:rPr>
                <w:rFonts w:ascii="Book Antiqua" w:hAnsi="Book Antiqua" w:cs="Book Antiqua"/>
                <w:snapToGrid w:val="0"/>
              </w:rPr>
              <w:t xml:space="preserve">Datos estadísticos del cuadro 2 y análisis de este. </w:t>
            </w:r>
          </w:p>
          <w:p w14:paraId="740BCAD7" w14:textId="77777777" w:rsidR="00DB37B6" w:rsidRPr="00412A1D" w:rsidRDefault="00DB37B6" w:rsidP="00EB031E">
            <w:pPr>
              <w:contextualSpacing/>
              <w:jc w:val="both"/>
              <w:rPr>
                <w:rFonts w:ascii="Book Antiqua" w:hAnsi="Book Antiqua"/>
                <w:i/>
                <w:iCs/>
              </w:rPr>
            </w:pPr>
            <w:r w:rsidRPr="00601E87">
              <w:rPr>
                <w:rFonts w:ascii="Book Antiqua" w:hAnsi="Book Antiqua" w:cs="Book Antiqua"/>
                <w:i/>
                <w:iCs/>
                <w:snapToGrid w:val="0"/>
              </w:rPr>
              <w:t>“…</w:t>
            </w:r>
            <w:r w:rsidRPr="00302589">
              <w:rPr>
                <w:rFonts w:ascii="Book Antiqua" w:hAnsi="Book Antiqua"/>
                <w:i/>
                <w:iCs/>
              </w:rPr>
              <w:t xml:space="preserve">Se evidencia que el Tribunal de Apelaciones Civil y Trabajo de Alajuela es el despacho con mayor ingreso con 27 casos entrados por plaza de Jueza o Juez, seguido del </w:t>
            </w:r>
            <w:r w:rsidRPr="00412A1D">
              <w:rPr>
                <w:rFonts w:ascii="Book Antiqua" w:hAnsi="Book Antiqua"/>
                <w:i/>
                <w:iCs/>
              </w:rPr>
              <w:t>Tribunal de Apelación Civil y Trabajo de Heredia y Cartago con 24 y 23 casos entrados por persona juzgadora respectivamente…”</w:t>
            </w:r>
          </w:p>
          <w:p w14:paraId="03717D3D" w14:textId="77777777" w:rsidR="00DB37B6" w:rsidRPr="00412A1D" w:rsidRDefault="00DB37B6" w:rsidP="00EB031E">
            <w:pPr>
              <w:contextualSpacing/>
              <w:jc w:val="both"/>
              <w:rPr>
                <w:rFonts w:ascii="Book Antiqua" w:hAnsi="Book Antiqua"/>
                <w:b/>
                <w:bCs/>
                <w:i/>
                <w:iCs/>
                <w:color w:val="FFFFFF" w:themeColor="background1"/>
                <w:lang w:eastAsia="es-CR"/>
              </w:rPr>
            </w:pPr>
          </w:p>
          <w:p w14:paraId="33DE4CA0" w14:textId="77777777" w:rsidR="00DB37B6" w:rsidRDefault="00DB37B6" w:rsidP="00EB031E">
            <w:pPr>
              <w:contextualSpacing/>
              <w:jc w:val="both"/>
              <w:rPr>
                <w:rFonts w:ascii="Book Antiqua" w:hAnsi="Book Antiqua" w:cs="Book Antiqua"/>
                <w:b/>
                <w:bCs/>
                <w:color w:val="000000" w:themeColor="text1"/>
                <w:lang w:eastAsia="es-CR"/>
              </w:rPr>
            </w:pPr>
            <w:r w:rsidRPr="00601E87">
              <w:rPr>
                <w:rFonts w:ascii="Book Antiqua" w:hAnsi="Book Antiqua" w:cs="Book Antiqua"/>
                <w:b/>
                <w:bCs/>
                <w:color w:val="000000" w:themeColor="text1"/>
                <w:lang w:eastAsia="es-CR"/>
              </w:rPr>
              <w:t>Observación concreta</w:t>
            </w:r>
            <w:r>
              <w:rPr>
                <w:rFonts w:ascii="Book Antiqua" w:hAnsi="Book Antiqua" w:cs="Book Antiqua"/>
                <w:b/>
                <w:bCs/>
                <w:color w:val="000000" w:themeColor="text1"/>
                <w:lang w:eastAsia="es-CR"/>
              </w:rPr>
              <w:t xml:space="preserve">: </w:t>
            </w:r>
          </w:p>
          <w:p w14:paraId="722E6A31" w14:textId="77777777" w:rsidR="00DB37B6" w:rsidRDefault="00DB37B6" w:rsidP="00EB031E">
            <w:pPr>
              <w:contextualSpacing/>
              <w:jc w:val="both"/>
              <w:rPr>
                <w:rFonts w:ascii="Book Antiqua" w:hAnsi="Book Antiqua" w:cs="Book Antiqua"/>
                <w:b/>
                <w:bCs/>
                <w:color w:val="000000" w:themeColor="text1"/>
                <w:lang w:eastAsia="es-CR"/>
              </w:rPr>
            </w:pPr>
          </w:p>
          <w:p w14:paraId="79ACD25B" w14:textId="77777777" w:rsidR="00DB37B6" w:rsidRPr="00601E87" w:rsidRDefault="00DB37B6" w:rsidP="00EB031E">
            <w:pPr>
              <w:contextualSpacing/>
              <w:jc w:val="both"/>
              <w:rPr>
                <w:rFonts w:ascii="Book Antiqua" w:hAnsi="Book Antiqua"/>
                <w:i/>
                <w:iCs/>
              </w:rPr>
            </w:pPr>
            <w:r>
              <w:rPr>
                <w:rFonts w:ascii="Book Antiqua" w:hAnsi="Book Antiqua"/>
                <w:i/>
                <w:iCs/>
              </w:rPr>
              <w:t>“…</w:t>
            </w:r>
            <w:r w:rsidRPr="00601E87">
              <w:rPr>
                <w:rFonts w:ascii="Book Antiqua" w:hAnsi="Book Antiqua"/>
                <w:i/>
                <w:iCs/>
              </w:rPr>
              <w:t xml:space="preserve">Considera el CACMFJ que para la toma de este tipo de decisiones resulta necesario abarcar un periodo razonable y lo más actualizado posible, partiendo del nuevo comportamiento de los casos entrados, con el fin de que el ajuste en las cuotas de trabajo por materia responda a la realidad actual que presentan estas oficinas y no como lo realizado en el informe en consulta, en el cual se analiza la carga de trabajo de los Tribunales considerando únicamente el 2018 y 2019. Si bien en el 2020 existió un comportamiento atípico por la pandemia COVID-19, el presente año muestra un acomodo, que permite ser considerado. </w:t>
            </w:r>
          </w:p>
          <w:p w14:paraId="760EF74C" w14:textId="77777777" w:rsidR="00DB37B6" w:rsidRPr="00601E87" w:rsidRDefault="00DB37B6" w:rsidP="00EB031E">
            <w:pPr>
              <w:contextualSpacing/>
              <w:jc w:val="both"/>
              <w:rPr>
                <w:rFonts w:ascii="Book Antiqua" w:hAnsi="Book Antiqua"/>
                <w:i/>
                <w:iCs/>
              </w:rPr>
            </w:pPr>
          </w:p>
          <w:p w14:paraId="373223C2" w14:textId="77777777" w:rsidR="00DB37B6" w:rsidRPr="00601E87" w:rsidRDefault="00DB37B6" w:rsidP="00EB031E">
            <w:pPr>
              <w:contextualSpacing/>
              <w:jc w:val="both"/>
              <w:rPr>
                <w:rFonts w:ascii="Book Antiqua" w:hAnsi="Book Antiqua"/>
                <w:i/>
                <w:iCs/>
              </w:rPr>
            </w:pPr>
            <w:r w:rsidRPr="00601E87">
              <w:rPr>
                <w:rFonts w:ascii="Book Antiqua" w:hAnsi="Book Antiqua"/>
                <w:i/>
                <w:iCs/>
              </w:rPr>
              <w:t xml:space="preserve">Además, en el análisis realizado resulta importante considerar que posterior a la entrada en vigencia del nuevo Código Procesal Civil se presentaron situaciones especiales que implicaron un aumento considerable en la entrada de los Tribunales, como lo fue la cantidad de asuntos Civiles ingresados en el Tribunal de Apelación de Alajuela en abril y junio 2019 (891 expediente), por el conflicto de competencia planteado por el Juzgado de Cobro del Primer Circuito Judicial de la zona, que afecta la tendencia de las estadísticas, uno de los motivos que hizo que este Tribunal se posicione como el de mayor ingreso, según el análisis del informe.  </w:t>
            </w:r>
          </w:p>
          <w:p w14:paraId="19929AC7" w14:textId="77777777" w:rsidR="00DB37B6" w:rsidRPr="00601E87" w:rsidRDefault="00DB37B6" w:rsidP="00EB031E">
            <w:pPr>
              <w:contextualSpacing/>
              <w:jc w:val="both"/>
              <w:rPr>
                <w:rFonts w:ascii="Book Antiqua" w:hAnsi="Book Antiqua"/>
                <w:i/>
                <w:iCs/>
              </w:rPr>
            </w:pPr>
          </w:p>
          <w:p w14:paraId="28487AD8" w14:textId="77777777" w:rsidR="00DB37B6" w:rsidRPr="00601E87" w:rsidRDefault="00DB37B6" w:rsidP="00EB031E">
            <w:pPr>
              <w:contextualSpacing/>
              <w:jc w:val="both"/>
              <w:rPr>
                <w:rFonts w:ascii="Book Antiqua" w:hAnsi="Book Antiqua" w:cs="Book Antiqua"/>
                <w:b/>
                <w:bCs/>
                <w:color w:val="FFFFFF" w:themeColor="background1"/>
                <w:lang w:eastAsia="es-CR"/>
              </w:rPr>
            </w:pPr>
            <w:r w:rsidRPr="00601E87">
              <w:rPr>
                <w:rFonts w:ascii="Book Antiqua" w:hAnsi="Book Antiqua"/>
                <w:i/>
                <w:iCs/>
              </w:rPr>
              <w:t>Sin embargo, del más reciente análisis realizado por el CACMFJ respecto a las cargas de trabajo de los Tribunales Regionalizados mixtos, se tiene que desde el 2019 a mayo del 2021 (2 años y 5 meses) el Tribunal que muestra la mayor carga de trabajo por juez(a) es el Tribunal de Apelación de Heredia, con 8 asuntos de más por mes, seguido por el Tribunal de Apelación de Cartago con 3 asuntos de más. La capacidad instalada del resto de los Tribunales, partiendo de lo recomendado en el informe 472-PLA-MI-2021 para el Tribunal de Apelación de Limón, puede hacer frente a la carga de trabajo, inclusive 3 de ellos pudiendo mantenerse completamente al día al considerar el ingreso (El Tribunal de Apelación de Puntarenas y el Tribunal de Apelación de Guanacaste y el Tribunal de Apelación de la Zona Atlántica). Situación que fue reiterada mediante oficio 177-CACMFJ-JEF-2021 remitido a la Dirección a su cargo. CACMFJ-JEF-2021 remitido a la Dirección a su cargo…”</w:t>
            </w:r>
          </w:p>
        </w:tc>
        <w:tc>
          <w:tcPr>
            <w:tcW w:w="3016" w:type="dxa"/>
            <w:vAlign w:val="center"/>
          </w:tcPr>
          <w:p w14:paraId="65525A23" w14:textId="77777777" w:rsidR="00650FA7" w:rsidRDefault="00650FA7" w:rsidP="00650FA7">
            <w:pPr>
              <w:autoSpaceDE w:val="0"/>
              <w:autoSpaceDN w:val="0"/>
              <w:adjustRightInd w:val="0"/>
              <w:jc w:val="both"/>
              <w:rPr>
                <w:rFonts w:ascii="Book Antiqua" w:hAnsi="Book Antiqua" w:cs="Book Antiqua"/>
                <w:color w:val="000000"/>
                <w:lang w:eastAsia="es-CR"/>
              </w:rPr>
            </w:pPr>
            <w:r>
              <w:rPr>
                <w:rFonts w:ascii="Book Antiqua" w:hAnsi="Book Antiqua" w:cs="Book Antiqua"/>
                <w:color w:val="000000"/>
                <w:lang w:eastAsia="es-CR"/>
              </w:rPr>
              <w:t xml:space="preserve">Se toma nota. La observación modifica el contenido del informe, se actualizan los datos estadísticos con la inclusión de 2020 y primer semestre del 2021, este último con datos obtenidos de SIGMA. </w:t>
            </w:r>
          </w:p>
          <w:p w14:paraId="5568FD11" w14:textId="77777777" w:rsidR="00DB37B6" w:rsidRPr="00601E87" w:rsidRDefault="00DB37B6" w:rsidP="00EB031E">
            <w:pPr>
              <w:autoSpaceDE w:val="0"/>
              <w:autoSpaceDN w:val="0"/>
              <w:adjustRightInd w:val="0"/>
              <w:jc w:val="both"/>
              <w:rPr>
                <w:rFonts w:ascii="Book Antiqua" w:hAnsi="Book Antiqua" w:cs="Book Antiqua"/>
                <w:b/>
                <w:bCs/>
                <w:color w:val="FFFFFF" w:themeColor="background1"/>
                <w:lang w:eastAsia="es-CR"/>
              </w:rPr>
            </w:pPr>
          </w:p>
        </w:tc>
      </w:tr>
      <w:tr w:rsidR="00DB37B6" w:rsidRPr="00412A1D" w14:paraId="25434C83" w14:textId="77777777" w:rsidTr="00EB031E">
        <w:trPr>
          <w:trHeight w:val="322"/>
        </w:trPr>
        <w:tc>
          <w:tcPr>
            <w:tcW w:w="527" w:type="dxa"/>
            <w:vAlign w:val="center"/>
          </w:tcPr>
          <w:p w14:paraId="0E969767" w14:textId="77777777" w:rsidR="00DB37B6" w:rsidRPr="00601E87" w:rsidRDefault="00DB37B6" w:rsidP="00EB031E">
            <w:pPr>
              <w:autoSpaceDE w:val="0"/>
              <w:autoSpaceDN w:val="0"/>
              <w:adjustRightInd w:val="0"/>
              <w:jc w:val="both"/>
              <w:rPr>
                <w:rFonts w:ascii="Book Antiqua" w:hAnsi="Book Antiqua" w:cs="Book Antiqua"/>
                <w:b/>
                <w:bCs/>
                <w:color w:val="FFFFFF" w:themeColor="background1"/>
                <w:lang w:eastAsia="es-CR"/>
              </w:rPr>
            </w:pPr>
          </w:p>
        </w:tc>
        <w:tc>
          <w:tcPr>
            <w:tcW w:w="6996" w:type="dxa"/>
            <w:vAlign w:val="center"/>
          </w:tcPr>
          <w:p w14:paraId="423B0D54" w14:textId="77777777" w:rsidR="00DB37B6" w:rsidRPr="00601E87" w:rsidRDefault="00DB37B6" w:rsidP="00EB031E">
            <w:pPr>
              <w:contextualSpacing/>
              <w:jc w:val="both"/>
              <w:rPr>
                <w:rFonts w:ascii="Book Antiqua" w:hAnsi="Book Antiqua" w:cs="Book Antiqua"/>
                <w:b/>
                <w:bCs/>
                <w:color w:val="FFFFFF" w:themeColor="background1"/>
                <w:lang w:eastAsia="es-CR"/>
              </w:rPr>
            </w:pPr>
          </w:p>
          <w:p w14:paraId="6E7B3138" w14:textId="77777777" w:rsidR="00DB37B6" w:rsidRPr="00601E87" w:rsidRDefault="00DB37B6" w:rsidP="00EB031E">
            <w:pPr>
              <w:contextualSpacing/>
              <w:jc w:val="both"/>
              <w:rPr>
                <w:rFonts w:ascii="Book Antiqua" w:hAnsi="Book Antiqua" w:cs="Book Antiqua"/>
                <w:b/>
                <w:bCs/>
                <w:color w:val="FFFFFF" w:themeColor="background1"/>
                <w:lang w:eastAsia="es-CR"/>
              </w:rPr>
            </w:pPr>
          </w:p>
          <w:p w14:paraId="071C2C28" w14:textId="77777777" w:rsidR="00DB37B6" w:rsidRPr="00601E87" w:rsidRDefault="00DB37B6" w:rsidP="00EB031E">
            <w:pPr>
              <w:widowControl w:val="0"/>
              <w:autoSpaceDE w:val="0"/>
              <w:autoSpaceDN w:val="0"/>
              <w:adjustRightInd w:val="0"/>
              <w:spacing w:before="240"/>
              <w:jc w:val="both"/>
              <w:rPr>
                <w:rFonts w:ascii="Book Antiqua" w:hAnsi="Book Antiqua" w:cs="Book Antiqua"/>
                <w:snapToGrid w:val="0"/>
              </w:rPr>
            </w:pPr>
            <w:r w:rsidRPr="00601E87">
              <w:rPr>
                <w:rFonts w:ascii="Book Antiqua" w:hAnsi="Book Antiqua" w:cs="Book Antiqua"/>
                <w:snapToGrid w:val="0"/>
              </w:rPr>
              <w:t>Apartado 3. Análisis de cargas de trabajo:</w:t>
            </w:r>
          </w:p>
          <w:p w14:paraId="5ED6A2EB" w14:textId="77777777" w:rsidR="00DB37B6" w:rsidRDefault="00DB37B6" w:rsidP="00EB031E">
            <w:pPr>
              <w:widowControl w:val="0"/>
              <w:autoSpaceDE w:val="0"/>
              <w:autoSpaceDN w:val="0"/>
              <w:adjustRightInd w:val="0"/>
              <w:spacing w:before="240"/>
              <w:jc w:val="both"/>
              <w:rPr>
                <w:rFonts w:ascii="Book Antiqua" w:hAnsi="Book Antiqua" w:cs="Book Antiqua"/>
                <w:snapToGrid w:val="0"/>
              </w:rPr>
            </w:pPr>
            <w:r w:rsidRPr="00601E87">
              <w:rPr>
                <w:rFonts w:ascii="Book Antiqua" w:hAnsi="Book Antiqua" w:cs="Book Antiqua"/>
                <w:snapToGrid w:val="0"/>
              </w:rPr>
              <w:t xml:space="preserve">Datos estadísticos del cuadro 3 y análisis de este. </w:t>
            </w:r>
          </w:p>
          <w:p w14:paraId="6B34E789" w14:textId="77777777" w:rsidR="00DB37B6" w:rsidRPr="00601E87" w:rsidRDefault="00DB37B6" w:rsidP="00EB031E">
            <w:pPr>
              <w:widowControl w:val="0"/>
              <w:autoSpaceDE w:val="0"/>
              <w:autoSpaceDN w:val="0"/>
              <w:adjustRightInd w:val="0"/>
              <w:spacing w:before="240"/>
              <w:jc w:val="both"/>
              <w:rPr>
                <w:rFonts w:ascii="Book Antiqua" w:hAnsi="Book Antiqua" w:cs="Book Antiqua"/>
                <w:snapToGrid w:val="0"/>
              </w:rPr>
            </w:pPr>
          </w:p>
          <w:p w14:paraId="67A36EA0" w14:textId="77777777" w:rsidR="00DB37B6" w:rsidRDefault="00DB37B6" w:rsidP="00EB031E">
            <w:pPr>
              <w:contextualSpacing/>
              <w:jc w:val="both"/>
              <w:rPr>
                <w:rFonts w:ascii="Book Antiqua" w:hAnsi="Book Antiqua" w:cs="Book Antiqua"/>
                <w:b/>
                <w:bCs/>
                <w:color w:val="000000" w:themeColor="text1"/>
                <w:lang w:eastAsia="es-CR"/>
              </w:rPr>
            </w:pPr>
            <w:r w:rsidRPr="005C1BD4">
              <w:rPr>
                <w:rFonts w:ascii="Book Antiqua" w:hAnsi="Book Antiqua" w:cs="Book Antiqua"/>
                <w:b/>
                <w:bCs/>
                <w:color w:val="000000" w:themeColor="text1"/>
                <w:lang w:eastAsia="es-CR"/>
              </w:rPr>
              <w:t>Observación concreta</w:t>
            </w:r>
            <w:r>
              <w:rPr>
                <w:rFonts w:ascii="Book Antiqua" w:hAnsi="Book Antiqua" w:cs="Book Antiqua"/>
                <w:b/>
                <w:bCs/>
                <w:color w:val="000000" w:themeColor="text1"/>
                <w:lang w:eastAsia="es-CR"/>
              </w:rPr>
              <w:t xml:space="preserve">: </w:t>
            </w:r>
          </w:p>
          <w:p w14:paraId="03D7D3B5" w14:textId="77777777" w:rsidR="00DB37B6" w:rsidRPr="00601E87" w:rsidRDefault="00DB37B6" w:rsidP="00EB031E">
            <w:pPr>
              <w:contextualSpacing/>
              <w:jc w:val="both"/>
              <w:rPr>
                <w:rFonts w:ascii="Book Antiqua" w:hAnsi="Book Antiqua" w:cs="Book Antiqua"/>
                <w:b/>
                <w:bCs/>
                <w:color w:val="000000" w:themeColor="text1"/>
                <w:lang w:eastAsia="es-CR"/>
              </w:rPr>
            </w:pPr>
          </w:p>
          <w:p w14:paraId="09E18998" w14:textId="77777777" w:rsidR="00DB37B6" w:rsidRPr="00601E87" w:rsidRDefault="00DB37B6" w:rsidP="00EB031E">
            <w:pPr>
              <w:pStyle w:val="Textocomentario"/>
              <w:jc w:val="both"/>
              <w:rPr>
                <w:rFonts w:ascii="Book Antiqua" w:hAnsi="Book Antiqua" w:cs="Arial"/>
                <w:i/>
                <w:iCs/>
                <w:sz w:val="22"/>
                <w:szCs w:val="22"/>
              </w:rPr>
            </w:pPr>
            <w:r w:rsidRPr="00601E87">
              <w:rPr>
                <w:rFonts w:ascii="Book Antiqua" w:hAnsi="Book Antiqua" w:cs="Arial"/>
                <w:i/>
                <w:iCs/>
                <w:sz w:val="22"/>
                <w:szCs w:val="22"/>
              </w:rPr>
              <w:t xml:space="preserve">“…Los datos totales del cuadro 3 no coinciden con las cantidades que se indican que recibió cada Tribunal en el mismo periodo analizado en el cuadro 2, existe un error en la sumatoria total de la última fila...” </w:t>
            </w:r>
          </w:p>
          <w:p w14:paraId="2C684098" w14:textId="77777777" w:rsidR="00DB37B6" w:rsidRPr="00601E87" w:rsidRDefault="00DB37B6" w:rsidP="00EB031E">
            <w:pPr>
              <w:contextualSpacing/>
              <w:jc w:val="both"/>
              <w:rPr>
                <w:rFonts w:ascii="Book Antiqua" w:hAnsi="Book Antiqua" w:cs="Book Antiqua"/>
                <w:b/>
                <w:bCs/>
                <w:color w:val="FFFFFF" w:themeColor="background1"/>
                <w:lang w:eastAsia="es-CR"/>
              </w:rPr>
            </w:pPr>
          </w:p>
        </w:tc>
        <w:tc>
          <w:tcPr>
            <w:tcW w:w="3016" w:type="dxa"/>
            <w:vAlign w:val="center"/>
          </w:tcPr>
          <w:p w14:paraId="2382E95F" w14:textId="77777777" w:rsidR="00650FA7" w:rsidRDefault="00650FA7" w:rsidP="00650FA7">
            <w:pPr>
              <w:autoSpaceDE w:val="0"/>
              <w:autoSpaceDN w:val="0"/>
              <w:adjustRightInd w:val="0"/>
              <w:jc w:val="both"/>
              <w:rPr>
                <w:rFonts w:ascii="Book Antiqua" w:hAnsi="Book Antiqua" w:cs="Book Antiqua"/>
                <w:color w:val="000000"/>
                <w:lang w:eastAsia="es-CR"/>
              </w:rPr>
            </w:pPr>
            <w:r>
              <w:rPr>
                <w:rFonts w:ascii="Book Antiqua" w:hAnsi="Book Antiqua" w:cs="Book Antiqua"/>
                <w:color w:val="000000"/>
                <w:lang w:eastAsia="es-CR"/>
              </w:rPr>
              <w:t xml:space="preserve">Se toma nota. La observación modifica el contenido del informe, se actualizan los datos estadísticos con la inclusión de 2020 y primer semestre del 2021, este último con datos obtenidos de SIGMA. </w:t>
            </w:r>
          </w:p>
          <w:p w14:paraId="55CFF052" w14:textId="77777777" w:rsidR="00DB37B6" w:rsidRPr="00601E87" w:rsidRDefault="00DB37B6" w:rsidP="00EB031E">
            <w:pPr>
              <w:autoSpaceDE w:val="0"/>
              <w:autoSpaceDN w:val="0"/>
              <w:adjustRightInd w:val="0"/>
              <w:jc w:val="both"/>
              <w:rPr>
                <w:rFonts w:ascii="Book Antiqua" w:hAnsi="Book Antiqua" w:cs="Book Antiqua"/>
                <w:color w:val="FFFFFF" w:themeColor="background1"/>
                <w:lang w:eastAsia="es-CR"/>
              </w:rPr>
            </w:pPr>
          </w:p>
        </w:tc>
      </w:tr>
      <w:tr w:rsidR="00DB37B6" w:rsidRPr="00412A1D" w14:paraId="0700E373" w14:textId="77777777" w:rsidTr="00EB031E">
        <w:trPr>
          <w:trHeight w:val="322"/>
        </w:trPr>
        <w:tc>
          <w:tcPr>
            <w:tcW w:w="527" w:type="dxa"/>
            <w:vAlign w:val="center"/>
          </w:tcPr>
          <w:p w14:paraId="21DB0573" w14:textId="77777777" w:rsidR="00DB37B6" w:rsidRPr="00601E87" w:rsidRDefault="00DB37B6" w:rsidP="00EB031E">
            <w:pPr>
              <w:autoSpaceDE w:val="0"/>
              <w:autoSpaceDN w:val="0"/>
              <w:adjustRightInd w:val="0"/>
              <w:jc w:val="both"/>
              <w:rPr>
                <w:rFonts w:ascii="Book Antiqua" w:hAnsi="Book Antiqua" w:cs="Book Antiqua"/>
                <w:b/>
                <w:bCs/>
                <w:color w:val="FFFFFF" w:themeColor="background1"/>
                <w:lang w:eastAsia="es-CR"/>
              </w:rPr>
            </w:pPr>
          </w:p>
        </w:tc>
        <w:tc>
          <w:tcPr>
            <w:tcW w:w="6996" w:type="dxa"/>
            <w:vAlign w:val="center"/>
          </w:tcPr>
          <w:p w14:paraId="6A6CC7AB" w14:textId="77777777" w:rsidR="00DB37B6" w:rsidRPr="00601E87" w:rsidRDefault="00DB37B6" w:rsidP="00EB031E">
            <w:pPr>
              <w:contextualSpacing/>
              <w:jc w:val="both"/>
              <w:rPr>
                <w:rFonts w:ascii="Book Antiqua" w:hAnsi="Book Antiqua" w:cs="Book Antiqua"/>
                <w:color w:val="FFFFFF" w:themeColor="background1"/>
                <w:lang w:eastAsia="es-CR"/>
              </w:rPr>
            </w:pPr>
          </w:p>
          <w:p w14:paraId="6A34E27B" w14:textId="77777777" w:rsidR="00DB37B6" w:rsidRPr="00601E87" w:rsidRDefault="00DB37B6" w:rsidP="00EB031E">
            <w:pPr>
              <w:widowControl w:val="0"/>
              <w:autoSpaceDE w:val="0"/>
              <w:autoSpaceDN w:val="0"/>
              <w:adjustRightInd w:val="0"/>
              <w:spacing w:before="240"/>
              <w:jc w:val="both"/>
              <w:rPr>
                <w:rFonts w:ascii="Book Antiqua" w:eastAsia="Times New Roman" w:hAnsi="Book Antiqua" w:cs="Arial"/>
                <w:lang w:val="es-ES" w:eastAsia="es-ES"/>
              </w:rPr>
            </w:pPr>
            <w:r w:rsidRPr="00601E87">
              <w:rPr>
                <w:rFonts w:ascii="Book Antiqua" w:eastAsia="Times New Roman" w:hAnsi="Book Antiqua" w:cs="Arial"/>
                <w:lang w:val="es-ES" w:eastAsia="es-ES"/>
              </w:rPr>
              <w:t>Página 21 y 25</w:t>
            </w:r>
          </w:p>
          <w:p w14:paraId="09E17017" w14:textId="77777777" w:rsidR="00DB37B6" w:rsidRPr="00601E87" w:rsidRDefault="00DB37B6" w:rsidP="00EB031E">
            <w:pPr>
              <w:widowControl w:val="0"/>
              <w:autoSpaceDE w:val="0"/>
              <w:autoSpaceDN w:val="0"/>
              <w:adjustRightInd w:val="0"/>
              <w:spacing w:before="240"/>
              <w:jc w:val="both"/>
              <w:rPr>
                <w:rFonts w:ascii="Book Antiqua" w:hAnsi="Book Antiqua" w:cs="Book Antiqua"/>
                <w:snapToGrid w:val="0"/>
              </w:rPr>
            </w:pPr>
            <w:r w:rsidRPr="00601E87">
              <w:rPr>
                <w:rFonts w:ascii="Book Antiqua" w:hAnsi="Book Antiqua" w:cs="Book Antiqua"/>
                <w:snapToGrid w:val="0"/>
              </w:rPr>
              <w:t xml:space="preserve">Apartado 3. Análisis de cargas de trabajo: </w:t>
            </w:r>
          </w:p>
          <w:p w14:paraId="2895C8F2" w14:textId="77777777" w:rsidR="00DB37B6" w:rsidRPr="00601E87" w:rsidRDefault="00DB37B6" w:rsidP="00EB031E">
            <w:pPr>
              <w:widowControl w:val="0"/>
              <w:autoSpaceDE w:val="0"/>
              <w:autoSpaceDN w:val="0"/>
              <w:adjustRightInd w:val="0"/>
              <w:spacing w:before="240"/>
              <w:jc w:val="both"/>
              <w:rPr>
                <w:rFonts w:ascii="Book Antiqua" w:hAnsi="Book Antiqua" w:cs="Book Antiqua"/>
                <w:snapToGrid w:val="0"/>
              </w:rPr>
            </w:pPr>
            <w:r w:rsidRPr="00601E87">
              <w:rPr>
                <w:rFonts w:ascii="Book Antiqua" w:hAnsi="Book Antiqua" w:cs="Book Antiqua"/>
                <w:snapToGrid w:val="0"/>
              </w:rPr>
              <w:t xml:space="preserve">3.1.4 Casos Terminados Análisis de este punto. </w:t>
            </w:r>
          </w:p>
          <w:p w14:paraId="154AB44C" w14:textId="77777777" w:rsidR="00DB37B6" w:rsidRPr="00601E87" w:rsidRDefault="00DB37B6" w:rsidP="00EB031E">
            <w:pPr>
              <w:widowControl w:val="0"/>
              <w:autoSpaceDE w:val="0"/>
              <w:autoSpaceDN w:val="0"/>
              <w:adjustRightInd w:val="0"/>
              <w:spacing w:before="240"/>
              <w:jc w:val="both"/>
              <w:rPr>
                <w:rFonts w:ascii="Book Antiqua" w:hAnsi="Book Antiqua" w:cs="Book Antiqua"/>
                <w:i/>
                <w:iCs/>
                <w:snapToGrid w:val="0"/>
              </w:rPr>
            </w:pPr>
            <w:r w:rsidRPr="00601E87">
              <w:rPr>
                <w:rFonts w:ascii="Book Antiqua" w:hAnsi="Book Antiqua" w:cs="Book Antiqua"/>
                <w:i/>
                <w:iCs/>
                <w:snapToGrid w:val="0"/>
              </w:rPr>
              <w:t>“…</w:t>
            </w:r>
            <w:r w:rsidRPr="00302589">
              <w:rPr>
                <w:rFonts w:ascii="Book Antiqua" w:hAnsi="Book Antiqua"/>
                <w:i/>
                <w:iCs/>
              </w:rPr>
              <w:t xml:space="preserve">el Despacho que obtuvo la mayor cantidad de asuntos terminados corresponde al </w:t>
            </w:r>
            <w:r w:rsidRPr="00120BE4">
              <w:rPr>
                <w:rFonts w:ascii="Book Antiqua" w:hAnsi="Book Antiqua"/>
                <w:i/>
                <w:iCs/>
              </w:rPr>
              <w:t>Tribunal de Alajuela con un 59% en materia Civil y un 41% en laboral...”</w:t>
            </w:r>
          </w:p>
          <w:p w14:paraId="6DF38CEA" w14:textId="77777777" w:rsidR="00DB37B6" w:rsidRPr="00601E87" w:rsidRDefault="00DB37B6" w:rsidP="00EB031E">
            <w:pPr>
              <w:contextualSpacing/>
              <w:jc w:val="both"/>
              <w:rPr>
                <w:rFonts w:ascii="Book Antiqua" w:hAnsi="Book Antiqua" w:cs="Book Antiqua"/>
                <w:color w:val="FFFFFF" w:themeColor="background1"/>
                <w:lang w:eastAsia="es-CR"/>
              </w:rPr>
            </w:pPr>
            <w:r w:rsidRPr="00601E87">
              <w:rPr>
                <w:rFonts w:ascii="Book Antiqua" w:hAnsi="Book Antiqua" w:cs="Book Antiqua"/>
                <w:snapToGrid w:val="0"/>
              </w:rPr>
              <w:t>Cuadro 8</w:t>
            </w:r>
          </w:p>
          <w:p w14:paraId="3371EDE3" w14:textId="77777777" w:rsidR="00DB37B6" w:rsidRPr="00601E87" w:rsidRDefault="00DB37B6" w:rsidP="00EB031E">
            <w:pPr>
              <w:contextualSpacing/>
              <w:jc w:val="both"/>
              <w:rPr>
                <w:rFonts w:ascii="Book Antiqua" w:hAnsi="Book Antiqua" w:cs="Book Antiqua"/>
                <w:color w:val="FFFFFF" w:themeColor="background1"/>
                <w:lang w:eastAsia="es-CR"/>
              </w:rPr>
            </w:pPr>
          </w:p>
          <w:p w14:paraId="34BFE120" w14:textId="77777777" w:rsidR="00DB37B6" w:rsidRPr="00120BE4" w:rsidRDefault="00DB37B6" w:rsidP="00EB031E">
            <w:pPr>
              <w:contextualSpacing/>
              <w:jc w:val="both"/>
              <w:rPr>
                <w:rFonts w:ascii="Book Antiqua" w:hAnsi="Book Antiqua" w:cs="Book Antiqua"/>
                <w:b/>
                <w:bCs/>
                <w:color w:val="000000" w:themeColor="text1"/>
                <w:lang w:eastAsia="es-CR"/>
              </w:rPr>
            </w:pPr>
            <w:r w:rsidRPr="00302589">
              <w:rPr>
                <w:rFonts w:ascii="Book Antiqua" w:hAnsi="Book Antiqua" w:cs="Book Antiqua"/>
                <w:b/>
                <w:bCs/>
                <w:color w:val="000000" w:themeColor="text1"/>
                <w:lang w:eastAsia="es-CR"/>
              </w:rPr>
              <w:t>Observación</w:t>
            </w:r>
            <w:r w:rsidRPr="00120BE4">
              <w:rPr>
                <w:rFonts w:ascii="Book Antiqua" w:hAnsi="Book Antiqua" w:cs="Book Antiqua"/>
                <w:b/>
                <w:bCs/>
                <w:color w:val="000000" w:themeColor="text1"/>
                <w:lang w:eastAsia="es-CR"/>
              </w:rPr>
              <w:t xml:space="preserve"> concreta: </w:t>
            </w:r>
          </w:p>
          <w:p w14:paraId="402C634A" w14:textId="77777777" w:rsidR="00DB37B6" w:rsidRPr="00601E87" w:rsidRDefault="00DB37B6" w:rsidP="00EB031E">
            <w:pPr>
              <w:contextualSpacing/>
              <w:jc w:val="both"/>
              <w:rPr>
                <w:rFonts w:ascii="Book Antiqua" w:hAnsi="Book Antiqua" w:cs="Book Antiqua"/>
                <w:color w:val="FFFFFF" w:themeColor="background1"/>
                <w:lang w:eastAsia="es-CR"/>
              </w:rPr>
            </w:pPr>
          </w:p>
          <w:p w14:paraId="01E9DF7C" w14:textId="0BE4BE7B" w:rsidR="00DB37B6" w:rsidRDefault="00DB37B6" w:rsidP="00EB031E">
            <w:pPr>
              <w:pStyle w:val="Textocomentario"/>
              <w:jc w:val="both"/>
              <w:rPr>
                <w:rFonts w:ascii="Book Antiqua" w:hAnsi="Book Antiqua" w:cs="Arial"/>
                <w:i/>
                <w:iCs/>
                <w:sz w:val="22"/>
                <w:szCs w:val="22"/>
              </w:rPr>
            </w:pPr>
            <w:r w:rsidRPr="00601E87">
              <w:rPr>
                <w:rFonts w:ascii="Book Antiqua" w:hAnsi="Book Antiqua" w:cs="Arial"/>
                <w:i/>
                <w:iCs/>
                <w:sz w:val="22"/>
                <w:szCs w:val="22"/>
              </w:rPr>
              <w:t>“…En el análisis realizado se detalla y concluye el Tribunal que logró finalizar la mayor cantidad de casos, sin considerarse e indicarse que uno de los factores influyentes responde a colaboraciones recibidas con recurso de apoyo adicional, que solo por parte del CACMFJ el Tribunal de Apelación Civil y de Trabajo de Alajuela recibió el apoyo con 773 asuntos fallados entre ambas materias, durante el periodo analizado, lo cual además no coincide con la cantidad indicada en el cuadro 8, por lo que; se sugiere verificar si las cantidades responde a años completos.</w:t>
            </w:r>
          </w:p>
          <w:p w14:paraId="616C3F29" w14:textId="77777777" w:rsidR="00535C15" w:rsidRPr="00601E87" w:rsidRDefault="00535C15" w:rsidP="00EB031E">
            <w:pPr>
              <w:pStyle w:val="Textocomentario"/>
              <w:jc w:val="both"/>
              <w:rPr>
                <w:rFonts w:ascii="Book Antiqua" w:hAnsi="Book Antiqua" w:cs="Arial"/>
                <w:i/>
                <w:iCs/>
                <w:sz w:val="22"/>
                <w:szCs w:val="22"/>
              </w:rPr>
            </w:pPr>
          </w:p>
          <w:p w14:paraId="2F6E5680" w14:textId="77777777" w:rsidR="00535C15" w:rsidRDefault="00DB37B6" w:rsidP="00EB031E">
            <w:pPr>
              <w:pStyle w:val="Textocomentario"/>
              <w:jc w:val="both"/>
              <w:rPr>
                <w:rFonts w:ascii="Book Antiqua" w:hAnsi="Book Antiqua" w:cs="Arial"/>
                <w:i/>
                <w:iCs/>
                <w:sz w:val="22"/>
                <w:szCs w:val="22"/>
              </w:rPr>
            </w:pPr>
            <w:r w:rsidRPr="00601E87">
              <w:rPr>
                <w:rFonts w:ascii="Book Antiqua" w:hAnsi="Book Antiqua" w:cs="Arial"/>
                <w:i/>
                <w:iCs/>
                <w:sz w:val="22"/>
                <w:szCs w:val="22"/>
              </w:rPr>
              <w:t>De igual manera otros Tribunales recibieron igualmente apoyo, lo cual resulta importante mencionar y analizar en este apartado.</w:t>
            </w:r>
          </w:p>
          <w:p w14:paraId="042F441C" w14:textId="10BFF6DE" w:rsidR="00DB37B6" w:rsidRPr="00601E87" w:rsidRDefault="00DB37B6" w:rsidP="00EB031E">
            <w:pPr>
              <w:pStyle w:val="Textocomentario"/>
              <w:jc w:val="both"/>
              <w:rPr>
                <w:rFonts w:ascii="Book Antiqua" w:hAnsi="Book Antiqua" w:cs="Arial"/>
                <w:i/>
                <w:iCs/>
                <w:sz w:val="22"/>
                <w:szCs w:val="22"/>
              </w:rPr>
            </w:pPr>
            <w:r w:rsidRPr="00601E87">
              <w:rPr>
                <w:rFonts w:ascii="Book Antiqua" w:hAnsi="Book Antiqua" w:cs="Arial"/>
                <w:i/>
                <w:iCs/>
                <w:sz w:val="22"/>
                <w:szCs w:val="22"/>
              </w:rPr>
              <w:t xml:space="preserve">  </w:t>
            </w:r>
          </w:p>
          <w:p w14:paraId="24549229" w14:textId="36F93AA7" w:rsidR="00DB37B6" w:rsidRDefault="00DB37B6" w:rsidP="00EB031E">
            <w:pPr>
              <w:pStyle w:val="Textocomentario"/>
              <w:jc w:val="both"/>
              <w:rPr>
                <w:rFonts w:ascii="Book Antiqua" w:hAnsi="Book Antiqua" w:cs="Arial"/>
                <w:i/>
                <w:iCs/>
                <w:sz w:val="22"/>
                <w:szCs w:val="22"/>
              </w:rPr>
            </w:pPr>
            <w:r w:rsidRPr="00601E87">
              <w:rPr>
                <w:rFonts w:ascii="Book Antiqua" w:hAnsi="Book Antiqua" w:cs="Arial"/>
                <w:i/>
                <w:iCs/>
                <w:sz w:val="22"/>
                <w:szCs w:val="22"/>
              </w:rPr>
              <w:t xml:space="preserve">Respecto a los demás Tribunales, nótese que existe información consignada en el cuadro N°8 que no coincide con los informes de seguimiento que este Centro facilitó a la Dirección a su cargo (94-CACMFJ-AGA-2019 y 155- CACMFJ-AGA-2020), por cuanto existen diferencias en los datos. </w:t>
            </w:r>
          </w:p>
          <w:p w14:paraId="124BDD75" w14:textId="77777777" w:rsidR="00535C15" w:rsidRPr="00601E87" w:rsidRDefault="00535C15" w:rsidP="00EB031E">
            <w:pPr>
              <w:pStyle w:val="Textocomentario"/>
              <w:jc w:val="both"/>
              <w:rPr>
                <w:rFonts w:ascii="Book Antiqua" w:hAnsi="Book Antiqua" w:cs="Arial"/>
                <w:i/>
                <w:iCs/>
                <w:sz w:val="22"/>
                <w:szCs w:val="22"/>
              </w:rPr>
            </w:pPr>
          </w:p>
          <w:p w14:paraId="5B77EAE7" w14:textId="77777777" w:rsidR="00DB37B6" w:rsidRPr="00601E87" w:rsidRDefault="00DB37B6" w:rsidP="00EB031E">
            <w:pPr>
              <w:pStyle w:val="Textocomentario"/>
              <w:rPr>
                <w:rFonts w:ascii="Book Antiqua" w:hAnsi="Book Antiqua" w:cs="Arial"/>
                <w:i/>
                <w:iCs/>
                <w:sz w:val="22"/>
                <w:szCs w:val="22"/>
              </w:rPr>
            </w:pPr>
            <w:r w:rsidRPr="00601E87">
              <w:rPr>
                <w:rFonts w:ascii="Book Antiqua" w:hAnsi="Book Antiqua" w:cs="Arial"/>
                <w:i/>
                <w:iCs/>
                <w:sz w:val="22"/>
                <w:szCs w:val="22"/>
              </w:rPr>
              <w:t xml:space="preserve">Seguidamente se presenta los datos correctos de la colaboración recibida en los Tribunales Regionalizados mixtos, durante el periodo evaluado en el informe: </w:t>
            </w:r>
          </w:p>
          <w:p w14:paraId="227B7D78" w14:textId="77777777" w:rsidR="00DB37B6" w:rsidRPr="00601E87" w:rsidRDefault="00DB37B6" w:rsidP="00EB031E">
            <w:pPr>
              <w:pStyle w:val="Textocomentario"/>
              <w:rPr>
                <w:rFonts w:ascii="Book Antiqua" w:hAnsi="Book Antiqua" w:cs="Arial"/>
                <w:i/>
                <w:iCs/>
                <w:sz w:val="22"/>
                <w:szCs w:val="22"/>
              </w:rPr>
            </w:pPr>
            <w:r w:rsidRPr="00601E87">
              <w:rPr>
                <w:i/>
                <w:iCs/>
                <w:noProof/>
                <w:sz w:val="22"/>
                <w:szCs w:val="22"/>
              </w:rPr>
              <w:drawing>
                <wp:inline distT="0" distB="0" distL="0" distR="0" wp14:anchorId="5F0DB987" wp14:editId="2C9355B9">
                  <wp:extent cx="4001770" cy="1686560"/>
                  <wp:effectExtent l="0" t="0" r="0" b="889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01770" cy="1686560"/>
                          </a:xfrm>
                          <a:prstGeom prst="rect">
                            <a:avLst/>
                          </a:prstGeom>
                          <a:noFill/>
                          <a:ln>
                            <a:noFill/>
                          </a:ln>
                        </pic:spPr>
                      </pic:pic>
                    </a:graphicData>
                  </a:graphic>
                </wp:inline>
              </w:drawing>
            </w:r>
          </w:p>
          <w:p w14:paraId="768922C8" w14:textId="77777777" w:rsidR="00DB37B6" w:rsidRPr="00601E87" w:rsidRDefault="00DB37B6" w:rsidP="00EB031E">
            <w:pPr>
              <w:contextualSpacing/>
              <w:jc w:val="both"/>
              <w:rPr>
                <w:rFonts w:ascii="Book Antiqua" w:hAnsi="Book Antiqua" w:cs="Book Antiqua"/>
                <w:color w:val="FFFFFF" w:themeColor="background1"/>
                <w:lang w:eastAsia="es-CR"/>
              </w:rPr>
            </w:pPr>
            <w:r w:rsidRPr="00601E87">
              <w:rPr>
                <w:rFonts w:ascii="Book Antiqua" w:hAnsi="Book Antiqua" w:cs="Arial"/>
                <w:i/>
                <w:iCs/>
              </w:rPr>
              <w:t xml:space="preserve"> La información del cuadro anterior varía el análisis del informe, por lo que; debe de modificarse los datos concluidos…”</w:t>
            </w:r>
          </w:p>
        </w:tc>
        <w:tc>
          <w:tcPr>
            <w:tcW w:w="3016" w:type="dxa"/>
            <w:vAlign w:val="center"/>
          </w:tcPr>
          <w:p w14:paraId="060849B9" w14:textId="77777777" w:rsidR="00DB37B6" w:rsidRPr="00601E87" w:rsidRDefault="00DB37B6" w:rsidP="00EB031E">
            <w:pPr>
              <w:autoSpaceDE w:val="0"/>
              <w:autoSpaceDN w:val="0"/>
              <w:adjustRightInd w:val="0"/>
              <w:jc w:val="both"/>
              <w:rPr>
                <w:rFonts w:ascii="Book Antiqua" w:hAnsi="Book Antiqua" w:cs="Book Antiqua"/>
                <w:color w:val="000000" w:themeColor="text1"/>
                <w:lang w:eastAsia="es-CR"/>
              </w:rPr>
            </w:pPr>
            <w:r w:rsidRPr="00601E87">
              <w:rPr>
                <w:rFonts w:ascii="Book Antiqua" w:hAnsi="Book Antiqua" w:cs="Book Antiqua"/>
                <w:color w:val="000000" w:themeColor="text1"/>
                <w:lang w:eastAsia="es-CR"/>
              </w:rPr>
              <w:t xml:space="preserve">Se toma nota </w:t>
            </w:r>
            <w:r>
              <w:rPr>
                <w:rFonts w:ascii="Book Antiqua" w:hAnsi="Book Antiqua" w:cs="Book Antiqua"/>
                <w:color w:val="000000" w:themeColor="text1"/>
                <w:lang w:eastAsia="es-CR"/>
              </w:rPr>
              <w:t>y</w:t>
            </w:r>
            <w:r w:rsidRPr="00601E87">
              <w:rPr>
                <w:rFonts w:ascii="Book Antiqua" w:hAnsi="Book Antiqua" w:cs="Book Antiqua"/>
                <w:color w:val="000000" w:themeColor="text1"/>
                <w:lang w:eastAsia="es-CR"/>
              </w:rPr>
              <w:t xml:space="preserve"> se realiza la modificación </w:t>
            </w:r>
            <w:r>
              <w:rPr>
                <w:rFonts w:ascii="Book Antiqua" w:hAnsi="Book Antiqua" w:cs="Book Antiqua"/>
                <w:color w:val="000000" w:themeColor="text1"/>
                <w:lang w:eastAsia="es-CR"/>
              </w:rPr>
              <w:t xml:space="preserve">y actualización conforme a los oficios </w:t>
            </w:r>
            <w:r w:rsidRPr="00601E87">
              <w:rPr>
                <w:rFonts w:ascii="Book Antiqua" w:hAnsi="Book Antiqua" w:cs="Book Antiqua"/>
                <w:color w:val="000000" w:themeColor="text1"/>
                <w:lang w:eastAsia="es-CR"/>
              </w:rPr>
              <w:t>94-CACMFJ-AGA-2019 y 155- CACMFJ-AGA-2020</w:t>
            </w:r>
            <w:r>
              <w:rPr>
                <w:rFonts w:ascii="Book Antiqua" w:hAnsi="Book Antiqua" w:cs="Book Antiqua"/>
                <w:color w:val="000000" w:themeColor="text1"/>
                <w:lang w:eastAsia="es-CR"/>
              </w:rPr>
              <w:t xml:space="preserve"> </w:t>
            </w:r>
            <w:r w:rsidRPr="00601E87">
              <w:rPr>
                <w:rFonts w:ascii="Book Antiqua" w:hAnsi="Book Antiqua" w:cs="Book Antiqua"/>
                <w:color w:val="000000" w:themeColor="text1"/>
                <w:lang w:eastAsia="es-CR"/>
              </w:rPr>
              <w:t xml:space="preserve">en el </w:t>
            </w:r>
            <w:r w:rsidRPr="00302589">
              <w:rPr>
                <w:rFonts w:ascii="Book Antiqua" w:hAnsi="Book Antiqua" w:cs="Book Antiqua"/>
                <w:color w:val="000000" w:themeColor="text1"/>
                <w:lang w:eastAsia="es-CR"/>
              </w:rPr>
              <w:t>cuadro 8</w:t>
            </w:r>
            <w:r>
              <w:rPr>
                <w:rFonts w:ascii="Book Antiqua" w:hAnsi="Book Antiqua" w:cs="Book Antiqua"/>
                <w:color w:val="000000" w:themeColor="text1"/>
                <w:lang w:eastAsia="es-CR"/>
              </w:rPr>
              <w:t xml:space="preserve">, </w:t>
            </w:r>
            <w:r w:rsidRPr="00302589">
              <w:rPr>
                <w:rFonts w:ascii="Book Antiqua" w:hAnsi="Book Antiqua" w:cs="Book Antiqua"/>
                <w:color w:val="000000" w:themeColor="text1"/>
                <w:lang w:eastAsia="es-CR"/>
              </w:rPr>
              <w:t>específicamente</w:t>
            </w:r>
            <w:r w:rsidRPr="00FC7FC4">
              <w:rPr>
                <w:rFonts w:ascii="Book Antiqua" w:hAnsi="Book Antiqua" w:cs="Book Antiqua"/>
                <w:color w:val="000000" w:themeColor="text1"/>
                <w:lang w:eastAsia="es-CR"/>
              </w:rPr>
              <w:t xml:space="preserve"> en </w:t>
            </w:r>
            <w:r>
              <w:rPr>
                <w:rFonts w:ascii="Book Antiqua" w:hAnsi="Book Antiqua" w:cs="Book Antiqua"/>
                <w:color w:val="000000" w:themeColor="text1"/>
                <w:lang w:eastAsia="es-CR"/>
              </w:rPr>
              <w:t xml:space="preserve">el </w:t>
            </w:r>
            <w:r w:rsidRPr="00601E87">
              <w:rPr>
                <w:rFonts w:ascii="Book Antiqua" w:hAnsi="Book Antiqua" w:cs="Book Antiqua"/>
                <w:color w:val="000000" w:themeColor="text1"/>
                <w:lang w:eastAsia="es-CR"/>
              </w:rPr>
              <w:t xml:space="preserve">Tribunal De Apelación Civil Y Trabajo Alajuela y de Tribunal de Apelación Civil y Trabajo de </w:t>
            </w:r>
            <w:r w:rsidRPr="00DB3549">
              <w:rPr>
                <w:rFonts w:ascii="Book Antiqua" w:hAnsi="Book Antiqua" w:cs="Book Antiqua"/>
                <w:color w:val="000000" w:themeColor="text1"/>
                <w:lang w:eastAsia="es-CR"/>
              </w:rPr>
              <w:t>Puntarenas,</w:t>
            </w:r>
            <w:r w:rsidRPr="00601E87">
              <w:rPr>
                <w:rFonts w:ascii="Book Antiqua" w:hAnsi="Book Antiqua" w:cs="Book Antiqua"/>
                <w:color w:val="000000" w:themeColor="text1"/>
                <w:lang w:eastAsia="es-CR"/>
              </w:rPr>
              <w:t xml:space="preserve"> </w:t>
            </w:r>
            <w:r>
              <w:rPr>
                <w:rFonts w:ascii="Book Antiqua" w:hAnsi="Book Antiqua" w:cs="Book Antiqua"/>
                <w:color w:val="000000" w:themeColor="text1"/>
                <w:lang w:eastAsia="es-CR"/>
              </w:rPr>
              <w:t>así mismo</w:t>
            </w:r>
            <w:r w:rsidRPr="00601E87">
              <w:rPr>
                <w:rFonts w:ascii="Book Antiqua" w:hAnsi="Book Antiqua" w:cs="Book Antiqua"/>
                <w:color w:val="000000" w:themeColor="text1"/>
                <w:lang w:eastAsia="es-CR"/>
              </w:rPr>
              <w:t xml:space="preserve"> se actualizan las conclusiones.</w:t>
            </w:r>
            <w:r>
              <w:rPr>
                <w:rFonts w:ascii="Book Antiqua" w:eastAsia="Times New Roman" w:hAnsi="Book Antiqua" w:cs="Times New Roman"/>
                <w:color w:val="000000"/>
                <w:sz w:val="20"/>
                <w:szCs w:val="20"/>
                <w:lang w:eastAsia="es-CR"/>
              </w:rPr>
              <w:t xml:space="preserve"> </w:t>
            </w:r>
          </w:p>
        </w:tc>
      </w:tr>
      <w:tr w:rsidR="00DB37B6" w:rsidRPr="00412A1D" w14:paraId="7E5CA58B" w14:textId="77777777" w:rsidTr="00EB031E">
        <w:trPr>
          <w:trHeight w:val="322"/>
        </w:trPr>
        <w:tc>
          <w:tcPr>
            <w:tcW w:w="527" w:type="dxa"/>
            <w:vAlign w:val="center"/>
          </w:tcPr>
          <w:p w14:paraId="482270D1" w14:textId="77777777" w:rsidR="00DB37B6" w:rsidRPr="00601E87" w:rsidRDefault="00DB37B6" w:rsidP="00EB031E">
            <w:pPr>
              <w:autoSpaceDE w:val="0"/>
              <w:autoSpaceDN w:val="0"/>
              <w:adjustRightInd w:val="0"/>
              <w:jc w:val="both"/>
              <w:rPr>
                <w:rFonts w:ascii="Book Antiqua" w:hAnsi="Book Antiqua" w:cs="Book Antiqua"/>
                <w:b/>
                <w:bCs/>
                <w:color w:val="FFFFFF" w:themeColor="background1"/>
                <w:lang w:eastAsia="es-CR"/>
              </w:rPr>
            </w:pPr>
          </w:p>
        </w:tc>
        <w:tc>
          <w:tcPr>
            <w:tcW w:w="6996" w:type="dxa"/>
            <w:vAlign w:val="center"/>
          </w:tcPr>
          <w:p w14:paraId="2A9C257E" w14:textId="77777777" w:rsidR="00DB37B6" w:rsidRPr="00601E87" w:rsidRDefault="00DB37B6" w:rsidP="00EB031E">
            <w:pPr>
              <w:widowControl w:val="0"/>
              <w:autoSpaceDE w:val="0"/>
              <w:autoSpaceDN w:val="0"/>
              <w:adjustRightInd w:val="0"/>
              <w:spacing w:before="240"/>
              <w:jc w:val="both"/>
              <w:rPr>
                <w:rFonts w:ascii="Book Antiqua" w:eastAsia="Times New Roman" w:hAnsi="Book Antiqua" w:cs="Arial"/>
                <w:lang w:val="es-ES" w:eastAsia="es-ES"/>
              </w:rPr>
            </w:pPr>
            <w:r w:rsidRPr="00601E87">
              <w:rPr>
                <w:rFonts w:ascii="Book Antiqua" w:eastAsia="Times New Roman" w:hAnsi="Book Antiqua" w:cs="Arial"/>
                <w:lang w:val="es-ES" w:eastAsia="es-ES"/>
              </w:rPr>
              <w:t>Página 28 y 57</w:t>
            </w:r>
          </w:p>
          <w:p w14:paraId="43572F9C" w14:textId="77777777" w:rsidR="00DB37B6" w:rsidRPr="00601E87" w:rsidRDefault="00DB37B6" w:rsidP="00EB031E">
            <w:pPr>
              <w:widowControl w:val="0"/>
              <w:autoSpaceDE w:val="0"/>
              <w:autoSpaceDN w:val="0"/>
              <w:adjustRightInd w:val="0"/>
              <w:spacing w:before="240"/>
              <w:jc w:val="both"/>
              <w:rPr>
                <w:rFonts w:ascii="Book Antiqua" w:hAnsi="Book Antiqua" w:cs="Book Antiqua"/>
                <w:snapToGrid w:val="0"/>
              </w:rPr>
            </w:pPr>
            <w:r w:rsidRPr="00601E87">
              <w:rPr>
                <w:rFonts w:ascii="Book Antiqua" w:hAnsi="Book Antiqua" w:cs="Book Antiqua"/>
                <w:snapToGrid w:val="0"/>
              </w:rPr>
              <w:t>Apartado de recomendaciones:</w:t>
            </w:r>
          </w:p>
          <w:p w14:paraId="02CA4F8A" w14:textId="77777777" w:rsidR="00DB37B6" w:rsidRPr="00412A1D" w:rsidRDefault="00DB37B6" w:rsidP="00EB031E">
            <w:pPr>
              <w:jc w:val="both"/>
              <w:rPr>
                <w:rFonts w:ascii="Book Antiqua" w:hAnsi="Book Antiqua"/>
                <w:b/>
                <w:bCs/>
                <w:i/>
                <w:iCs/>
              </w:rPr>
            </w:pPr>
            <w:r w:rsidRPr="00302589">
              <w:rPr>
                <w:rFonts w:ascii="Book Antiqua" w:hAnsi="Book Antiqua"/>
                <w:b/>
                <w:bCs/>
                <w:i/>
                <w:iCs/>
              </w:rPr>
              <w:t xml:space="preserve">Al Consejo Superior </w:t>
            </w:r>
          </w:p>
          <w:p w14:paraId="265A08C6" w14:textId="77777777" w:rsidR="00DB37B6" w:rsidRPr="00412A1D" w:rsidRDefault="00DB37B6" w:rsidP="00EB031E">
            <w:pPr>
              <w:pStyle w:val="Prrafodelista"/>
              <w:spacing w:after="160"/>
              <w:ind w:left="0"/>
              <w:jc w:val="both"/>
              <w:rPr>
                <w:rFonts w:ascii="Book Antiqua" w:hAnsi="Book Antiqua"/>
                <w:i/>
                <w:iCs/>
              </w:rPr>
            </w:pPr>
            <w:r w:rsidRPr="00412A1D">
              <w:rPr>
                <w:rFonts w:ascii="Book Antiqua" w:hAnsi="Book Antiqua"/>
                <w:b/>
                <w:bCs/>
                <w:i/>
                <w:iCs/>
              </w:rPr>
              <w:t>“…</w:t>
            </w:r>
            <w:r w:rsidRPr="00412A1D">
              <w:rPr>
                <w:rFonts w:ascii="Book Antiqua" w:hAnsi="Book Antiqua"/>
                <w:i/>
                <w:iCs/>
              </w:rPr>
              <w:t>Conocer y aprobar el presente informe respecto a los Tribunales de Apelación Civil y Trabajo del país, así como las recomendaciones emanadas.</w:t>
            </w:r>
          </w:p>
          <w:p w14:paraId="670F4AC7" w14:textId="77777777" w:rsidR="00DB37B6" w:rsidRPr="00412A1D" w:rsidRDefault="00DB37B6" w:rsidP="00EB031E">
            <w:pPr>
              <w:pStyle w:val="Prrafodelista"/>
              <w:spacing w:after="160"/>
              <w:ind w:left="0"/>
              <w:jc w:val="both"/>
              <w:rPr>
                <w:rFonts w:ascii="Book Antiqua" w:hAnsi="Book Antiqua"/>
                <w:i/>
                <w:iCs/>
              </w:rPr>
            </w:pPr>
            <w:r w:rsidRPr="00412A1D">
              <w:rPr>
                <w:rFonts w:ascii="Book Antiqua" w:hAnsi="Book Antiqua"/>
                <w:i/>
                <w:iCs/>
              </w:rPr>
              <w:t xml:space="preserve">Aprobar la actualización de las cuotas de trabajo con distribución por materia para el personal juzgador de los Tribunales de Apelación Civil y Trabajo competentes en ambas materias (Mixto), la cual está establecida en 17 sentencias mínimas al mes, desglosada de la siguiente manera…” </w:t>
            </w:r>
          </w:p>
          <w:p w14:paraId="50B4A3A3" w14:textId="6E107ECD" w:rsidR="00DB37B6" w:rsidRPr="00EB031E" w:rsidRDefault="00DB37B6" w:rsidP="00EB031E">
            <w:pPr>
              <w:contextualSpacing/>
              <w:jc w:val="both"/>
              <w:rPr>
                <w:rFonts w:ascii="Book Antiqua" w:hAnsi="Book Antiqua" w:cs="Book Antiqua"/>
                <w:b/>
                <w:bCs/>
                <w:color w:val="000000" w:themeColor="text1"/>
                <w:lang w:eastAsia="es-CR"/>
              </w:rPr>
            </w:pPr>
          </w:p>
          <w:p w14:paraId="09DD7709" w14:textId="03EE8705" w:rsidR="000B0027" w:rsidRDefault="000B0027" w:rsidP="00EB031E">
            <w:pPr>
              <w:contextualSpacing/>
              <w:jc w:val="both"/>
              <w:rPr>
                <w:rFonts w:ascii="Book Antiqua" w:hAnsi="Book Antiqua" w:cs="Book Antiqua"/>
                <w:b/>
                <w:bCs/>
                <w:color w:val="000000" w:themeColor="text1"/>
                <w:lang w:eastAsia="es-CR"/>
              </w:rPr>
            </w:pPr>
            <w:r w:rsidRPr="00EB031E">
              <w:rPr>
                <w:rFonts w:ascii="Book Antiqua" w:hAnsi="Book Antiqua" w:cs="Book Antiqua"/>
                <w:b/>
                <w:bCs/>
                <w:color w:val="000000" w:themeColor="text1"/>
                <w:lang w:eastAsia="es-CR"/>
              </w:rPr>
              <w:t>Observación concr</w:t>
            </w:r>
            <w:r>
              <w:rPr>
                <w:rFonts w:ascii="Book Antiqua" w:hAnsi="Book Antiqua" w:cs="Book Antiqua"/>
                <w:b/>
                <w:bCs/>
                <w:color w:val="000000" w:themeColor="text1"/>
                <w:lang w:eastAsia="es-CR"/>
              </w:rPr>
              <w:t xml:space="preserve">eta: </w:t>
            </w:r>
          </w:p>
          <w:p w14:paraId="70BE887B" w14:textId="77777777" w:rsidR="000B0027" w:rsidRPr="00EB031E" w:rsidRDefault="000B0027" w:rsidP="00EB031E">
            <w:pPr>
              <w:contextualSpacing/>
              <w:jc w:val="both"/>
              <w:rPr>
                <w:rFonts w:ascii="Book Antiqua" w:hAnsi="Book Antiqua" w:cs="Book Antiqua"/>
                <w:b/>
                <w:bCs/>
                <w:color w:val="000000" w:themeColor="text1"/>
                <w:lang w:eastAsia="es-CR"/>
              </w:rPr>
            </w:pPr>
          </w:p>
          <w:p w14:paraId="3CF67AE8" w14:textId="037B7B3E" w:rsidR="00DB37B6" w:rsidRDefault="00FD411D" w:rsidP="00EB031E">
            <w:pPr>
              <w:pStyle w:val="Textocomentario"/>
              <w:jc w:val="both"/>
              <w:rPr>
                <w:rFonts w:ascii="Book Antiqua" w:hAnsi="Book Antiqua" w:cs="Arial"/>
                <w:i/>
                <w:iCs/>
                <w:sz w:val="22"/>
                <w:szCs w:val="22"/>
              </w:rPr>
            </w:pPr>
            <w:r>
              <w:rPr>
                <w:rFonts w:ascii="Book Antiqua" w:hAnsi="Book Antiqua" w:cs="Arial"/>
                <w:sz w:val="22"/>
                <w:szCs w:val="22"/>
              </w:rPr>
              <w:t>“…</w:t>
            </w:r>
            <w:r w:rsidR="00DB37B6" w:rsidRPr="00EB031E">
              <w:rPr>
                <w:rFonts w:ascii="Book Antiqua" w:hAnsi="Book Antiqua" w:cs="Arial"/>
                <w:i/>
                <w:iCs/>
                <w:sz w:val="22"/>
                <w:szCs w:val="22"/>
              </w:rPr>
              <w:t xml:space="preserve">Valorar la propuesta de variación en el desglose de la cuota de trabajo determinada para cada materia, mediante el estudio con datos estadísticos actualizados, con la finalidad de que la definición de estas cuotas parta del nuevo comportamiento de los casos entrados y responda a la realidad actual de estas oficinas. (Observación que debe de aplicarse en la carga de trabajo al tener relación directa con lo concluido y recomendado).   </w:t>
            </w:r>
          </w:p>
          <w:p w14:paraId="3333B3AB" w14:textId="77777777" w:rsidR="00535C15" w:rsidRPr="00EB031E" w:rsidRDefault="00535C15" w:rsidP="00EB031E">
            <w:pPr>
              <w:pStyle w:val="Textocomentario"/>
              <w:jc w:val="both"/>
              <w:rPr>
                <w:rFonts w:ascii="Book Antiqua" w:hAnsi="Book Antiqua" w:cs="Arial"/>
                <w:i/>
                <w:iCs/>
                <w:sz w:val="22"/>
                <w:szCs w:val="22"/>
              </w:rPr>
            </w:pPr>
          </w:p>
          <w:p w14:paraId="56D5F630" w14:textId="77777777" w:rsidR="00DB37B6" w:rsidRPr="00EB031E" w:rsidRDefault="00DB37B6" w:rsidP="00EB031E">
            <w:pPr>
              <w:pStyle w:val="Textocomentario"/>
              <w:jc w:val="both"/>
              <w:rPr>
                <w:rFonts w:ascii="Book Antiqua" w:hAnsi="Book Antiqua" w:cs="Arial"/>
                <w:i/>
                <w:iCs/>
                <w:sz w:val="22"/>
                <w:szCs w:val="22"/>
              </w:rPr>
            </w:pPr>
            <w:r w:rsidRPr="00EB031E">
              <w:rPr>
                <w:rFonts w:ascii="Book Antiqua" w:hAnsi="Book Antiqua" w:cs="Arial"/>
                <w:i/>
                <w:iCs/>
                <w:sz w:val="22"/>
                <w:szCs w:val="22"/>
              </w:rPr>
              <w:t xml:space="preserve">En línea con lo anterior, se solicita </w:t>
            </w:r>
            <w:r w:rsidRPr="00EB031E">
              <w:rPr>
                <w:rFonts w:ascii="Book Antiqua" w:hAnsi="Book Antiqua" w:cs="Arial"/>
                <w:i/>
                <w:iCs/>
                <w:sz w:val="22"/>
                <w:szCs w:val="22"/>
                <w:u w:val="single"/>
              </w:rPr>
              <w:t>considerar la siguiente propuesta para la fijación de estas cuotas</w:t>
            </w:r>
            <w:r w:rsidRPr="00EB031E">
              <w:rPr>
                <w:rFonts w:ascii="Book Antiqua" w:hAnsi="Book Antiqua" w:cs="Arial"/>
                <w:i/>
                <w:iCs/>
                <w:sz w:val="22"/>
                <w:szCs w:val="22"/>
              </w:rPr>
              <w:t xml:space="preserve">, la cual se realiza mediante el análisis del ingreso del 2019 a mayo del 2021. Que realizado el ejercicio sin considerar el 2020, por la situación de la pandemia por COVID, arroja resultados similares que incluyéndolo: </w:t>
            </w:r>
          </w:p>
          <w:p w14:paraId="69527C75" w14:textId="77777777" w:rsidR="00DB37B6" w:rsidRPr="00EB031E" w:rsidRDefault="00DB37B6" w:rsidP="00EB031E">
            <w:pPr>
              <w:pStyle w:val="Textocomentario"/>
              <w:rPr>
                <w:rFonts w:ascii="Book Antiqua" w:hAnsi="Book Antiqua" w:cs="Arial"/>
                <w:i/>
                <w:iCs/>
                <w:sz w:val="22"/>
                <w:szCs w:val="22"/>
              </w:rPr>
            </w:pPr>
          </w:p>
          <w:p w14:paraId="1C7D795C" w14:textId="77777777" w:rsidR="00DB37B6" w:rsidRPr="00EB031E" w:rsidRDefault="00DB37B6" w:rsidP="00EB031E">
            <w:pPr>
              <w:pStyle w:val="Textocomentario"/>
              <w:jc w:val="center"/>
              <w:rPr>
                <w:rFonts w:ascii="Book Antiqua" w:hAnsi="Book Antiqua" w:cs="Arial"/>
                <w:i/>
                <w:iCs/>
                <w:color w:val="4472C4"/>
                <w:sz w:val="22"/>
                <w:szCs w:val="22"/>
              </w:rPr>
            </w:pPr>
            <w:r w:rsidRPr="00EB031E">
              <w:rPr>
                <w:rFonts w:ascii="Book Antiqua" w:hAnsi="Book Antiqua" w:cs="Arial"/>
                <w:i/>
                <w:iCs/>
                <w:color w:val="4472C4"/>
                <w:sz w:val="22"/>
                <w:szCs w:val="22"/>
              </w:rPr>
              <w:t>Propuesta del CACMFJ para la distribución de las cuotas de trabajo por materia para el personal juzgador de los Tribunales de Apelación Civil y de Trabajo</w:t>
            </w:r>
          </w:p>
          <w:p w14:paraId="14A584A2" w14:textId="77777777" w:rsidR="00DB37B6" w:rsidRPr="00EB031E" w:rsidRDefault="00DB37B6" w:rsidP="00EB031E">
            <w:pPr>
              <w:pStyle w:val="Textocomentario"/>
              <w:rPr>
                <w:rFonts w:ascii="Book Antiqua" w:hAnsi="Book Antiqua" w:cs="Arial"/>
                <w:i/>
                <w:iCs/>
                <w:sz w:val="22"/>
                <w:szCs w:val="22"/>
              </w:rPr>
            </w:pPr>
            <w:r w:rsidRPr="00EB031E">
              <w:rPr>
                <w:i/>
                <w:iCs/>
                <w:noProof/>
                <w:sz w:val="22"/>
                <w:szCs w:val="22"/>
              </w:rPr>
              <w:drawing>
                <wp:inline distT="0" distB="0" distL="0" distR="0" wp14:anchorId="2B4C6057" wp14:editId="2C18C40C">
                  <wp:extent cx="4297680" cy="1280160"/>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97680" cy="1280160"/>
                          </a:xfrm>
                          <a:prstGeom prst="rect">
                            <a:avLst/>
                          </a:prstGeom>
                          <a:noFill/>
                          <a:ln>
                            <a:noFill/>
                          </a:ln>
                        </pic:spPr>
                      </pic:pic>
                    </a:graphicData>
                  </a:graphic>
                </wp:inline>
              </w:drawing>
            </w:r>
          </w:p>
          <w:p w14:paraId="2CDDF5E6" w14:textId="68211293" w:rsidR="00DB37B6" w:rsidRPr="00EB031E" w:rsidRDefault="00DB37B6" w:rsidP="00EB031E">
            <w:pPr>
              <w:pStyle w:val="Textocomentario"/>
              <w:rPr>
                <w:rFonts w:ascii="Book Antiqua" w:hAnsi="Book Antiqua" w:cs="Arial"/>
                <w:i/>
                <w:iCs/>
                <w:sz w:val="22"/>
                <w:szCs w:val="22"/>
              </w:rPr>
            </w:pPr>
            <w:r w:rsidRPr="00EB031E">
              <w:rPr>
                <w:rFonts w:ascii="Book Antiqua" w:hAnsi="Book Antiqua" w:cs="Arial"/>
                <w:i/>
                <w:iCs/>
                <w:sz w:val="22"/>
                <w:szCs w:val="22"/>
              </w:rPr>
              <w:t>Se resaltan con rojo los Tribunales donde la propuesta de cuota determinada en el informe en consulta no coincide con lo propuesto por el CACMFJ</w:t>
            </w:r>
            <w:r w:rsidR="00FD411D">
              <w:rPr>
                <w:rFonts w:ascii="Book Antiqua" w:hAnsi="Book Antiqua" w:cs="Arial"/>
                <w:i/>
                <w:iCs/>
                <w:sz w:val="22"/>
                <w:szCs w:val="22"/>
              </w:rPr>
              <w:t>…”</w:t>
            </w:r>
          </w:p>
          <w:p w14:paraId="5A2F3120" w14:textId="77777777" w:rsidR="00DB37B6" w:rsidRPr="00601E87" w:rsidRDefault="00DB37B6" w:rsidP="00EB031E">
            <w:pPr>
              <w:contextualSpacing/>
              <w:jc w:val="both"/>
              <w:rPr>
                <w:rFonts w:ascii="Book Antiqua" w:hAnsi="Book Antiqua" w:cs="Book Antiqua"/>
                <w:b/>
                <w:bCs/>
                <w:color w:val="FFFFFF" w:themeColor="background1"/>
                <w:lang w:eastAsia="es-CR"/>
              </w:rPr>
            </w:pPr>
          </w:p>
        </w:tc>
        <w:tc>
          <w:tcPr>
            <w:tcW w:w="3016" w:type="dxa"/>
            <w:vAlign w:val="center"/>
          </w:tcPr>
          <w:p w14:paraId="25F8F9CD" w14:textId="77777777" w:rsidR="000B0027" w:rsidRDefault="000B0027" w:rsidP="000B0027">
            <w:pPr>
              <w:autoSpaceDE w:val="0"/>
              <w:autoSpaceDN w:val="0"/>
              <w:adjustRightInd w:val="0"/>
              <w:jc w:val="both"/>
              <w:rPr>
                <w:rFonts w:ascii="Book Antiqua" w:hAnsi="Book Antiqua" w:cs="Book Antiqua"/>
                <w:color w:val="000000"/>
                <w:lang w:eastAsia="es-CR"/>
              </w:rPr>
            </w:pPr>
            <w:r>
              <w:rPr>
                <w:rFonts w:ascii="Book Antiqua" w:hAnsi="Book Antiqua" w:cs="Book Antiqua"/>
                <w:color w:val="000000"/>
                <w:lang w:eastAsia="es-CR"/>
              </w:rPr>
              <w:t xml:space="preserve">Se toma nota. La observación modifica el contenido del informe, se actualizan los datos estadísticos con la inclusión de 2020 y primer semestre del 2021, este último con datos obtenidos de SIGMA. </w:t>
            </w:r>
          </w:p>
          <w:p w14:paraId="5F7C77C8" w14:textId="76DD61AC" w:rsidR="00DB37B6" w:rsidRDefault="00DB37B6" w:rsidP="00EB031E">
            <w:pPr>
              <w:autoSpaceDE w:val="0"/>
              <w:autoSpaceDN w:val="0"/>
              <w:adjustRightInd w:val="0"/>
              <w:jc w:val="both"/>
              <w:rPr>
                <w:rFonts w:ascii="Book Antiqua" w:hAnsi="Book Antiqua" w:cs="Book Antiqua"/>
                <w:color w:val="000000"/>
                <w:lang w:eastAsia="es-CR"/>
              </w:rPr>
            </w:pPr>
            <w:r>
              <w:rPr>
                <w:rFonts w:ascii="Book Antiqua" w:hAnsi="Book Antiqua" w:cs="Book Antiqua"/>
                <w:color w:val="000000"/>
                <w:lang w:eastAsia="es-CR"/>
              </w:rPr>
              <w:t xml:space="preserve"> </w:t>
            </w:r>
          </w:p>
          <w:p w14:paraId="450C27B8" w14:textId="77777777" w:rsidR="00DB37B6" w:rsidRPr="00601E87" w:rsidRDefault="00DB37B6" w:rsidP="00EB031E">
            <w:pPr>
              <w:autoSpaceDE w:val="0"/>
              <w:autoSpaceDN w:val="0"/>
              <w:adjustRightInd w:val="0"/>
              <w:jc w:val="both"/>
              <w:rPr>
                <w:rFonts w:ascii="Book Antiqua" w:hAnsi="Book Antiqua" w:cs="Book Antiqua"/>
                <w:b/>
                <w:bCs/>
                <w:color w:val="FFFFFF" w:themeColor="background1"/>
                <w:lang w:eastAsia="es-CR"/>
              </w:rPr>
            </w:pPr>
          </w:p>
        </w:tc>
      </w:tr>
      <w:tr w:rsidR="00DB37B6" w:rsidRPr="00412A1D" w14:paraId="20F43F79" w14:textId="77777777" w:rsidTr="00EB031E">
        <w:trPr>
          <w:trHeight w:val="322"/>
        </w:trPr>
        <w:tc>
          <w:tcPr>
            <w:tcW w:w="527" w:type="dxa"/>
            <w:vAlign w:val="center"/>
          </w:tcPr>
          <w:p w14:paraId="4347AE52" w14:textId="77777777" w:rsidR="00DB37B6" w:rsidRPr="00601E87" w:rsidRDefault="00DB37B6" w:rsidP="00EB031E">
            <w:pPr>
              <w:autoSpaceDE w:val="0"/>
              <w:autoSpaceDN w:val="0"/>
              <w:adjustRightInd w:val="0"/>
              <w:jc w:val="both"/>
              <w:rPr>
                <w:rFonts w:ascii="Book Antiqua" w:hAnsi="Book Antiqua" w:cs="Book Antiqua"/>
                <w:b/>
                <w:bCs/>
                <w:color w:val="FFFFFF" w:themeColor="background1"/>
                <w:lang w:eastAsia="es-CR"/>
              </w:rPr>
            </w:pPr>
          </w:p>
        </w:tc>
        <w:tc>
          <w:tcPr>
            <w:tcW w:w="6996" w:type="dxa"/>
            <w:vAlign w:val="center"/>
          </w:tcPr>
          <w:p w14:paraId="2FF75E20" w14:textId="77777777" w:rsidR="00DB37B6" w:rsidRPr="00601E87" w:rsidRDefault="00DB37B6" w:rsidP="00EB031E">
            <w:pPr>
              <w:contextualSpacing/>
              <w:jc w:val="both"/>
              <w:rPr>
                <w:rFonts w:ascii="Book Antiqua" w:hAnsi="Book Antiqua" w:cs="Book Antiqua"/>
                <w:b/>
                <w:bCs/>
                <w:color w:val="FFFFFF" w:themeColor="background1"/>
                <w:lang w:eastAsia="es-CR"/>
              </w:rPr>
            </w:pPr>
          </w:p>
          <w:p w14:paraId="3FE2BF67" w14:textId="77777777" w:rsidR="00DB37B6" w:rsidRPr="00601E87" w:rsidRDefault="00DB37B6" w:rsidP="00EB031E">
            <w:pPr>
              <w:widowControl w:val="0"/>
              <w:autoSpaceDE w:val="0"/>
              <w:autoSpaceDN w:val="0"/>
              <w:adjustRightInd w:val="0"/>
              <w:spacing w:before="240"/>
              <w:jc w:val="both"/>
              <w:rPr>
                <w:rFonts w:ascii="Book Antiqua" w:eastAsia="Times New Roman" w:hAnsi="Book Antiqua" w:cs="Arial"/>
                <w:lang w:val="es-ES" w:eastAsia="es-ES"/>
              </w:rPr>
            </w:pPr>
            <w:r w:rsidRPr="00601E87">
              <w:rPr>
                <w:rFonts w:ascii="Book Antiqua" w:eastAsia="Times New Roman" w:hAnsi="Book Antiqua" w:cs="Arial"/>
                <w:lang w:val="es-ES" w:eastAsia="es-ES"/>
              </w:rPr>
              <w:t>Página 59</w:t>
            </w:r>
          </w:p>
          <w:p w14:paraId="78D59AB8" w14:textId="77777777" w:rsidR="00DB37B6" w:rsidRPr="00601E87" w:rsidRDefault="00DB37B6" w:rsidP="00EB031E">
            <w:pPr>
              <w:widowControl w:val="0"/>
              <w:autoSpaceDE w:val="0"/>
              <w:autoSpaceDN w:val="0"/>
              <w:adjustRightInd w:val="0"/>
              <w:spacing w:before="240"/>
              <w:jc w:val="both"/>
              <w:rPr>
                <w:rFonts w:ascii="Book Antiqua" w:hAnsi="Book Antiqua" w:cs="Book Antiqua"/>
                <w:snapToGrid w:val="0"/>
              </w:rPr>
            </w:pPr>
            <w:r w:rsidRPr="00601E87">
              <w:rPr>
                <w:rFonts w:ascii="Book Antiqua" w:hAnsi="Book Antiqua" w:cs="Book Antiqua"/>
                <w:snapToGrid w:val="0"/>
              </w:rPr>
              <w:t>Apartado de recomendaciones:</w:t>
            </w:r>
          </w:p>
          <w:p w14:paraId="359D8FE9" w14:textId="77777777" w:rsidR="00DB37B6" w:rsidRPr="00412A1D" w:rsidRDefault="00DB37B6" w:rsidP="00EB031E">
            <w:pPr>
              <w:jc w:val="both"/>
              <w:rPr>
                <w:rFonts w:ascii="Book Antiqua" w:hAnsi="Book Antiqua"/>
                <w:i/>
                <w:iCs/>
              </w:rPr>
            </w:pPr>
            <w:r w:rsidRPr="00302589">
              <w:rPr>
                <w:rFonts w:ascii="Book Antiqua" w:hAnsi="Book Antiqua"/>
                <w:b/>
                <w:bCs/>
                <w:i/>
                <w:iCs/>
              </w:rPr>
              <w:t xml:space="preserve">Al Centro de Apoyo, Coordinación y Mejoramiento de la </w:t>
            </w:r>
            <w:r w:rsidRPr="00412A1D">
              <w:rPr>
                <w:rFonts w:ascii="Book Antiqua" w:hAnsi="Book Antiqua"/>
                <w:b/>
                <w:bCs/>
                <w:i/>
                <w:iCs/>
              </w:rPr>
              <w:t>Función Jurisdiccional</w:t>
            </w:r>
          </w:p>
          <w:p w14:paraId="78A6BC47" w14:textId="61807F29" w:rsidR="00DB37B6" w:rsidRDefault="00DB37B6" w:rsidP="00EB031E">
            <w:pPr>
              <w:pStyle w:val="Prrafodelista"/>
              <w:spacing w:after="160"/>
              <w:ind w:left="0"/>
              <w:jc w:val="both"/>
              <w:rPr>
                <w:rFonts w:ascii="Book Antiqua" w:hAnsi="Book Antiqua"/>
                <w:i/>
                <w:iCs/>
              </w:rPr>
            </w:pPr>
            <w:r w:rsidRPr="00601E87">
              <w:rPr>
                <w:rFonts w:ascii="Book Antiqua" w:hAnsi="Book Antiqua" w:cs="Book Antiqua"/>
                <w:i/>
                <w:iCs/>
                <w:snapToGrid w:val="0"/>
              </w:rPr>
              <w:t>“…</w:t>
            </w:r>
            <w:r w:rsidRPr="00302589">
              <w:rPr>
                <w:rFonts w:ascii="Book Antiqua" w:hAnsi="Book Antiqua"/>
                <w:i/>
                <w:iCs/>
              </w:rPr>
              <w:t>El Centro de Apoyo, Coordinación y Mejoramiento de la Función Jurisdiccional y  las Gestoras en materia de Trabajo y Civil, deben brindar apoyo y seguimiento al desempeño de los Tribunales de Apelación Civil y Trabajo (Mixto) media</w:t>
            </w:r>
            <w:r w:rsidRPr="00412A1D">
              <w:rPr>
                <w:rFonts w:ascii="Book Antiqua" w:hAnsi="Book Antiqua"/>
                <w:i/>
                <w:iCs/>
              </w:rPr>
              <w:t>nte la revisión periódica de los Indicadores de Gestión, seguimiento de los planes remediales y revisión de minutas de Equipo de Mejora, del mismo modo deben recomendar la actualización de los rangos definidos en los indicadores de gestión, en el que indica la justificación respectiva transcurrido al menos doce meses consecutivos, principalmente en caso de notar variaciones en la entrada de los tribunales a partir del cambio en la cuantía en materia de Trabajo vigente desde el 8 de octubre del 2020. Dicho apoyo y seguimiento incorpora velar por el cumplimiento de las cuotas de trabajo descritas en este informe y las modificaciones posteriores que sean aprobadas por el Consejo Superior y Corte Plena.  </w:t>
            </w:r>
          </w:p>
          <w:p w14:paraId="199B3225" w14:textId="77777777" w:rsidR="00535C15" w:rsidRPr="00412A1D" w:rsidRDefault="00535C15" w:rsidP="00EB031E">
            <w:pPr>
              <w:pStyle w:val="Prrafodelista"/>
              <w:spacing w:after="160"/>
              <w:ind w:left="0"/>
              <w:jc w:val="both"/>
              <w:rPr>
                <w:rFonts w:ascii="Book Antiqua" w:hAnsi="Book Antiqua"/>
                <w:i/>
                <w:iCs/>
              </w:rPr>
            </w:pPr>
          </w:p>
          <w:p w14:paraId="2F91D971" w14:textId="77777777" w:rsidR="00DB37B6" w:rsidRPr="00412A1D" w:rsidRDefault="00DB37B6" w:rsidP="00EB031E">
            <w:pPr>
              <w:pStyle w:val="Prrafodelista"/>
              <w:spacing w:after="160"/>
              <w:ind w:left="0"/>
              <w:jc w:val="both"/>
              <w:rPr>
                <w:rFonts w:ascii="Book Antiqua" w:hAnsi="Book Antiqua"/>
                <w:i/>
                <w:iCs/>
              </w:rPr>
            </w:pPr>
            <w:r w:rsidRPr="00412A1D">
              <w:rPr>
                <w:rFonts w:ascii="Book Antiqua" w:hAnsi="Book Antiqua"/>
                <w:i/>
                <w:iCs/>
              </w:rPr>
              <w:t>Valorar prestar colaboración a los Tribunales de Apelación que tienen una entrada de asuntos superior al parámetro de producción de 17 asuntos, atendiendo también las recomendaciones emitidas en el informe 599-PLA-MI-2021…”</w:t>
            </w:r>
          </w:p>
          <w:p w14:paraId="094FA264" w14:textId="3E1D2010" w:rsidR="00DB37B6" w:rsidRDefault="00AE674B" w:rsidP="00EB031E">
            <w:pPr>
              <w:pStyle w:val="Textocomentario"/>
              <w:rPr>
                <w:rFonts w:ascii="Book Antiqua" w:hAnsi="Book Antiqua" w:cs="Arial"/>
                <w:b/>
                <w:bCs/>
                <w:sz w:val="22"/>
                <w:szCs w:val="22"/>
              </w:rPr>
            </w:pPr>
            <w:r w:rsidRPr="00EB031E">
              <w:rPr>
                <w:rFonts w:ascii="Book Antiqua" w:hAnsi="Book Antiqua" w:cs="Arial"/>
                <w:b/>
                <w:bCs/>
                <w:sz w:val="22"/>
                <w:szCs w:val="22"/>
              </w:rPr>
              <w:t xml:space="preserve">Observación concreta: </w:t>
            </w:r>
          </w:p>
          <w:p w14:paraId="7E63EABD" w14:textId="77777777" w:rsidR="00AE674B" w:rsidRPr="00EB031E" w:rsidRDefault="00AE674B" w:rsidP="00EB031E">
            <w:pPr>
              <w:pStyle w:val="Textocomentario"/>
              <w:rPr>
                <w:rFonts w:ascii="Book Antiqua" w:hAnsi="Book Antiqua" w:cs="Arial"/>
                <w:b/>
                <w:bCs/>
                <w:sz w:val="22"/>
                <w:szCs w:val="22"/>
              </w:rPr>
            </w:pPr>
          </w:p>
          <w:p w14:paraId="4F157DBD" w14:textId="71DF7EA5" w:rsidR="00DB37B6" w:rsidRDefault="00AE674B" w:rsidP="00EB031E">
            <w:pPr>
              <w:pStyle w:val="Textocomentario"/>
              <w:jc w:val="both"/>
              <w:rPr>
                <w:rFonts w:ascii="Book Antiqua" w:hAnsi="Book Antiqua" w:cs="Arial"/>
                <w:i/>
                <w:iCs/>
                <w:sz w:val="22"/>
                <w:szCs w:val="22"/>
              </w:rPr>
            </w:pPr>
            <w:r w:rsidRPr="00EB031E">
              <w:rPr>
                <w:rFonts w:ascii="Book Antiqua" w:hAnsi="Book Antiqua" w:cs="Arial"/>
                <w:i/>
                <w:iCs/>
                <w:sz w:val="22"/>
                <w:szCs w:val="22"/>
              </w:rPr>
              <w:t>“…</w:t>
            </w:r>
            <w:r w:rsidR="00DB37B6" w:rsidRPr="00EB031E">
              <w:rPr>
                <w:rFonts w:ascii="Book Antiqua" w:hAnsi="Book Antiqua" w:cs="Arial"/>
                <w:i/>
                <w:iCs/>
                <w:sz w:val="22"/>
                <w:szCs w:val="22"/>
              </w:rPr>
              <w:t xml:space="preserve">Ambas recomendaciones actualmente se realizan por lo que resultan innecesarias. Valorar la eliminación o bien modificar la redacción a razón de que se continúe realizando. </w:t>
            </w:r>
          </w:p>
          <w:p w14:paraId="260A6B8A" w14:textId="77777777" w:rsidR="00535C15" w:rsidRPr="00EB031E" w:rsidRDefault="00535C15" w:rsidP="00EB031E">
            <w:pPr>
              <w:pStyle w:val="Textocomentario"/>
              <w:jc w:val="both"/>
              <w:rPr>
                <w:rFonts w:ascii="Book Antiqua" w:hAnsi="Book Antiqua" w:cs="Arial"/>
                <w:i/>
                <w:iCs/>
                <w:sz w:val="22"/>
                <w:szCs w:val="22"/>
              </w:rPr>
            </w:pPr>
          </w:p>
          <w:p w14:paraId="0685AA55" w14:textId="0D5E4E27" w:rsidR="00DB37B6" w:rsidRPr="00EB031E" w:rsidRDefault="00DB37B6">
            <w:pPr>
              <w:contextualSpacing/>
              <w:jc w:val="both"/>
              <w:rPr>
                <w:rFonts w:ascii="Book Antiqua" w:hAnsi="Book Antiqua" w:cs="Book Antiqua"/>
                <w:b/>
                <w:bCs/>
                <w:i/>
                <w:iCs/>
                <w:color w:val="FFFFFF" w:themeColor="background1"/>
                <w:lang w:eastAsia="es-CR"/>
              </w:rPr>
            </w:pPr>
            <w:r w:rsidRPr="00EB031E">
              <w:rPr>
                <w:rFonts w:ascii="Book Antiqua" w:hAnsi="Book Antiqua" w:cs="Arial"/>
                <w:i/>
                <w:iCs/>
              </w:rPr>
              <w:t>Nótese que el mismo informe evidencia lo señalado, donde se está atendiendo solicitudes del CACMFJ, producto de los seguimientos ejecutados y apoyos brindados; tales como: ajustes en la distribución de cuotas de trabajo por materia incluyendo el de las personas juzgadoras coordinadoras, ajustes en los indicadores de gestión, revisión y análisis respecto a inconsistencias en datos estadísticos, entre otros temas de interés. Lo cual fue informado también mediante el oficio 177-CACMFJ-JEF-2021 remitido a la Dirección de Planificación relacionado con las observaciones del informe en consulta N°559-PLA-MI-2021</w:t>
            </w:r>
            <w:r w:rsidR="00AE674B" w:rsidRPr="00EB031E">
              <w:rPr>
                <w:rFonts w:ascii="Book Antiqua" w:hAnsi="Book Antiqua" w:cs="Arial"/>
                <w:i/>
                <w:iCs/>
              </w:rPr>
              <w:t>…”</w:t>
            </w:r>
          </w:p>
          <w:p w14:paraId="50E43D38" w14:textId="77777777" w:rsidR="00DB37B6" w:rsidRPr="00601E87" w:rsidRDefault="00DB37B6" w:rsidP="00EB031E">
            <w:pPr>
              <w:contextualSpacing/>
              <w:jc w:val="both"/>
              <w:rPr>
                <w:rFonts w:ascii="Book Antiqua" w:hAnsi="Book Antiqua" w:cs="Book Antiqua"/>
                <w:b/>
                <w:bCs/>
                <w:color w:val="FFFFFF" w:themeColor="background1"/>
                <w:lang w:eastAsia="es-CR"/>
              </w:rPr>
            </w:pPr>
          </w:p>
        </w:tc>
        <w:tc>
          <w:tcPr>
            <w:tcW w:w="3016" w:type="dxa"/>
            <w:vAlign w:val="center"/>
          </w:tcPr>
          <w:p w14:paraId="5F0D6BFA" w14:textId="77777777" w:rsidR="00DB37B6" w:rsidRPr="00601E87" w:rsidRDefault="00DB37B6" w:rsidP="00EB031E">
            <w:pPr>
              <w:autoSpaceDE w:val="0"/>
              <w:autoSpaceDN w:val="0"/>
              <w:adjustRightInd w:val="0"/>
              <w:jc w:val="both"/>
              <w:rPr>
                <w:rFonts w:ascii="Book Antiqua" w:hAnsi="Book Antiqua" w:cs="Book Antiqua"/>
                <w:color w:val="FFFFFF" w:themeColor="background1"/>
                <w:lang w:eastAsia="es-CR"/>
              </w:rPr>
            </w:pPr>
            <w:r w:rsidRPr="00601E87">
              <w:rPr>
                <w:rFonts w:ascii="Book Antiqua" w:hAnsi="Book Antiqua" w:cs="Book Antiqua"/>
                <w:color w:val="000000" w:themeColor="text1"/>
                <w:lang w:eastAsia="es-CR"/>
              </w:rPr>
              <w:t>Se toma nota y se modifica la redacción de en las recomendacione</w:t>
            </w:r>
            <w:r>
              <w:rPr>
                <w:rFonts w:ascii="Book Antiqua" w:hAnsi="Book Antiqua" w:cs="Book Antiqua"/>
                <w:color w:val="000000" w:themeColor="text1"/>
                <w:lang w:eastAsia="es-CR"/>
              </w:rPr>
              <w:t>s.</w:t>
            </w:r>
            <w:r w:rsidRPr="00601E87">
              <w:rPr>
                <w:rFonts w:ascii="Book Antiqua" w:hAnsi="Book Antiqua" w:cs="Book Antiqua"/>
                <w:color w:val="FFFFFF" w:themeColor="background1"/>
                <w:lang w:eastAsia="es-CR"/>
              </w:rPr>
              <w:t xml:space="preserve"> </w:t>
            </w:r>
          </w:p>
        </w:tc>
      </w:tr>
    </w:tbl>
    <w:p w14:paraId="1B0DEB00" w14:textId="77777777" w:rsidR="00B979AE" w:rsidRPr="00410ED4" w:rsidRDefault="00B979AE" w:rsidP="00D611CE">
      <w:pPr>
        <w:pStyle w:val="Ttulo2"/>
      </w:pPr>
      <w:r w:rsidRPr="00410ED4">
        <w:t xml:space="preserve">Recomendaciones </w:t>
      </w:r>
    </w:p>
    <w:p w14:paraId="7FFD2727" w14:textId="6BFDA526" w:rsidR="00B979AE" w:rsidRDefault="00B979AE" w:rsidP="00B979AE">
      <w:pPr>
        <w:spacing w:line="276" w:lineRule="auto"/>
        <w:jc w:val="both"/>
        <w:rPr>
          <w:rFonts w:ascii="Book Antiqua" w:hAnsi="Book Antiqua"/>
        </w:rPr>
      </w:pPr>
      <w:r w:rsidRPr="00410ED4">
        <w:rPr>
          <w:rFonts w:ascii="Book Antiqua" w:hAnsi="Book Antiqua"/>
        </w:rPr>
        <w:t xml:space="preserve"> De acuerdo con los análisis efectuados, se proponen las siguientes recomendaciones: </w:t>
      </w:r>
    </w:p>
    <w:p w14:paraId="2DD4004D" w14:textId="77777777" w:rsidR="00B979AE" w:rsidRPr="00152FDE" w:rsidRDefault="00B979AE" w:rsidP="00B979AE">
      <w:pPr>
        <w:spacing w:line="276" w:lineRule="auto"/>
        <w:jc w:val="both"/>
        <w:rPr>
          <w:rFonts w:ascii="Book Antiqua" w:hAnsi="Book Antiqua"/>
          <w:b/>
          <w:bCs/>
        </w:rPr>
      </w:pPr>
      <w:r w:rsidRPr="00152FDE">
        <w:rPr>
          <w:rFonts w:ascii="Book Antiqua" w:hAnsi="Book Antiqua"/>
          <w:b/>
          <w:bCs/>
        </w:rPr>
        <w:t xml:space="preserve">Al Consejo Superior </w:t>
      </w:r>
    </w:p>
    <w:p w14:paraId="391C4AA3" w14:textId="56785D97" w:rsidR="00B979AE" w:rsidRDefault="00510F32" w:rsidP="009C259C">
      <w:pPr>
        <w:pStyle w:val="Prrafodelista"/>
        <w:numPr>
          <w:ilvl w:val="0"/>
          <w:numId w:val="3"/>
        </w:numPr>
        <w:spacing w:line="276" w:lineRule="auto"/>
        <w:jc w:val="both"/>
        <w:rPr>
          <w:rFonts w:ascii="Book Antiqua" w:hAnsi="Book Antiqua"/>
        </w:rPr>
      </w:pPr>
      <w:r>
        <w:rPr>
          <w:rFonts w:ascii="Book Antiqua" w:hAnsi="Book Antiqua"/>
        </w:rPr>
        <w:t>Conocer y a</w:t>
      </w:r>
      <w:r w:rsidR="00B979AE" w:rsidRPr="00CA6AFB">
        <w:rPr>
          <w:rFonts w:ascii="Book Antiqua" w:hAnsi="Book Antiqua"/>
        </w:rPr>
        <w:t>probar el presente informe</w:t>
      </w:r>
      <w:r w:rsidR="00B61A00">
        <w:rPr>
          <w:rFonts w:ascii="Book Antiqua" w:hAnsi="Book Antiqua"/>
        </w:rPr>
        <w:t xml:space="preserve"> respecto a los Tribunales de Apelación </w:t>
      </w:r>
      <w:r w:rsidR="009A6611">
        <w:rPr>
          <w:rFonts w:ascii="Book Antiqua" w:hAnsi="Book Antiqua"/>
        </w:rPr>
        <w:t>Civil y Trabajo del país, así</w:t>
      </w:r>
      <w:r w:rsidR="00B979AE" w:rsidRPr="00CA6AFB">
        <w:rPr>
          <w:rFonts w:ascii="Book Antiqua" w:hAnsi="Book Antiqua"/>
        </w:rPr>
        <w:t xml:space="preserve"> co</w:t>
      </w:r>
      <w:r w:rsidR="009A6611">
        <w:rPr>
          <w:rFonts w:ascii="Book Antiqua" w:hAnsi="Book Antiqua"/>
        </w:rPr>
        <w:t>mo</w:t>
      </w:r>
      <w:r w:rsidR="00B979AE" w:rsidRPr="00CA6AFB">
        <w:rPr>
          <w:rFonts w:ascii="Book Antiqua" w:hAnsi="Book Antiqua"/>
        </w:rPr>
        <w:t xml:space="preserve"> las recomendaci</w:t>
      </w:r>
      <w:r w:rsidR="00B979AE">
        <w:rPr>
          <w:rFonts w:ascii="Book Antiqua" w:hAnsi="Book Antiqua"/>
        </w:rPr>
        <w:t xml:space="preserve">ones </w:t>
      </w:r>
      <w:r w:rsidR="009A6611">
        <w:rPr>
          <w:rFonts w:ascii="Book Antiqua" w:hAnsi="Book Antiqua"/>
        </w:rPr>
        <w:t>emanadas</w:t>
      </w:r>
      <w:r w:rsidR="00B979AE">
        <w:rPr>
          <w:rFonts w:ascii="Book Antiqua" w:hAnsi="Book Antiqua"/>
        </w:rPr>
        <w:t>.</w:t>
      </w:r>
    </w:p>
    <w:p w14:paraId="6E947FEC" w14:textId="5376F106" w:rsidR="00B979AE" w:rsidRPr="00DA5781" w:rsidRDefault="00B979AE" w:rsidP="009C259C">
      <w:pPr>
        <w:pStyle w:val="Prrafodelista"/>
        <w:numPr>
          <w:ilvl w:val="0"/>
          <w:numId w:val="3"/>
        </w:numPr>
        <w:spacing w:line="276" w:lineRule="auto"/>
        <w:jc w:val="both"/>
        <w:rPr>
          <w:rFonts w:ascii="Book Antiqua" w:hAnsi="Book Antiqua"/>
        </w:rPr>
      </w:pPr>
      <w:r>
        <w:rPr>
          <w:rFonts w:ascii="Book Antiqua" w:hAnsi="Book Antiqua"/>
        </w:rPr>
        <w:t xml:space="preserve">Aprobar </w:t>
      </w:r>
      <w:r w:rsidR="00F85D99">
        <w:rPr>
          <w:rFonts w:ascii="Book Antiqua" w:hAnsi="Book Antiqua"/>
        </w:rPr>
        <w:t xml:space="preserve">la actualización de </w:t>
      </w:r>
      <w:r>
        <w:rPr>
          <w:rFonts w:ascii="Book Antiqua" w:hAnsi="Book Antiqua"/>
        </w:rPr>
        <w:t>las cuotas de trabajo</w:t>
      </w:r>
      <w:r w:rsidR="007E17F4">
        <w:rPr>
          <w:rFonts w:ascii="Book Antiqua" w:hAnsi="Book Antiqua"/>
        </w:rPr>
        <w:t xml:space="preserve"> con distribución por materia</w:t>
      </w:r>
      <w:r>
        <w:rPr>
          <w:rFonts w:ascii="Book Antiqua" w:hAnsi="Book Antiqua"/>
        </w:rPr>
        <w:t xml:space="preserve"> para el</w:t>
      </w:r>
      <w:r w:rsidRPr="00410ED4">
        <w:rPr>
          <w:rFonts w:ascii="Book Antiqua" w:hAnsi="Book Antiqua"/>
        </w:rPr>
        <w:t xml:space="preserve"> </w:t>
      </w:r>
      <w:r w:rsidRPr="009B696B">
        <w:rPr>
          <w:rFonts w:ascii="Book Antiqua" w:hAnsi="Book Antiqua"/>
        </w:rPr>
        <w:t>personal juzgador de los Tribunales de Apelación Civil y Trabajo</w:t>
      </w:r>
      <w:r w:rsidR="00C710FE">
        <w:rPr>
          <w:rFonts w:ascii="Book Antiqua" w:hAnsi="Book Antiqua"/>
        </w:rPr>
        <w:t xml:space="preserve"> competentes en ambas </w:t>
      </w:r>
      <w:r w:rsidR="007C55AA">
        <w:rPr>
          <w:rFonts w:ascii="Book Antiqua" w:hAnsi="Book Antiqua"/>
        </w:rPr>
        <w:t>materias (Mixto)</w:t>
      </w:r>
      <w:r w:rsidRPr="009B696B">
        <w:rPr>
          <w:rFonts w:ascii="Book Antiqua" w:hAnsi="Book Antiqua"/>
        </w:rPr>
        <w:t xml:space="preserve">, </w:t>
      </w:r>
      <w:r>
        <w:rPr>
          <w:rFonts w:ascii="Book Antiqua" w:hAnsi="Book Antiqua"/>
        </w:rPr>
        <w:t xml:space="preserve">la cual está </w:t>
      </w:r>
      <w:r w:rsidR="007E17F4">
        <w:rPr>
          <w:rFonts w:ascii="Book Antiqua" w:hAnsi="Book Antiqua"/>
        </w:rPr>
        <w:t xml:space="preserve">establecida </w:t>
      </w:r>
      <w:r w:rsidR="007E17F4" w:rsidRPr="00182ED4">
        <w:rPr>
          <w:rFonts w:ascii="Book Antiqua" w:hAnsi="Book Antiqua"/>
        </w:rPr>
        <w:t>en</w:t>
      </w:r>
      <w:r>
        <w:rPr>
          <w:rFonts w:ascii="Book Antiqua" w:hAnsi="Book Antiqua"/>
        </w:rPr>
        <w:t xml:space="preserve"> </w:t>
      </w:r>
      <w:r w:rsidRPr="00182ED4">
        <w:rPr>
          <w:rFonts w:ascii="Book Antiqua" w:hAnsi="Book Antiqua"/>
        </w:rPr>
        <w:t xml:space="preserve">17 sentencias mínimas al mes, </w:t>
      </w:r>
      <w:r w:rsidRPr="00DA5781">
        <w:rPr>
          <w:rFonts w:ascii="Book Antiqua" w:hAnsi="Book Antiqua"/>
        </w:rPr>
        <w:t>desglosada de la siguiente manera:</w:t>
      </w:r>
      <w:r w:rsidR="00C710FE">
        <w:rPr>
          <w:rFonts w:ascii="Book Antiqua" w:hAnsi="Book Antiqua"/>
        </w:rPr>
        <w:t xml:space="preserve"> </w:t>
      </w:r>
    </w:p>
    <w:tbl>
      <w:tblPr>
        <w:tblW w:w="8547" w:type="dxa"/>
        <w:tblCellMar>
          <w:left w:w="0" w:type="dxa"/>
          <w:right w:w="0" w:type="dxa"/>
        </w:tblCellMar>
        <w:tblLook w:val="04A0" w:firstRow="1" w:lastRow="0" w:firstColumn="1" w:lastColumn="0" w:noHBand="0" w:noVBand="1"/>
      </w:tblPr>
      <w:tblGrid>
        <w:gridCol w:w="6"/>
        <w:gridCol w:w="5614"/>
        <w:gridCol w:w="1020"/>
        <w:gridCol w:w="1048"/>
        <w:gridCol w:w="1051"/>
      </w:tblGrid>
      <w:tr w:rsidR="00BD43BD" w14:paraId="657BE571" w14:textId="77777777" w:rsidTr="00535C15">
        <w:trPr>
          <w:gridAfter w:val="1"/>
          <w:wAfter w:w="1051" w:type="dxa"/>
          <w:trHeight w:val="2315"/>
        </w:trPr>
        <w:tc>
          <w:tcPr>
            <w:tcW w:w="5620" w:type="dxa"/>
            <w:gridSpan w:val="2"/>
            <w:tcBorders>
              <w:top w:val="double" w:sz="6" w:space="0" w:color="44546A"/>
              <w:left w:val="double" w:sz="6" w:space="0" w:color="44546A"/>
              <w:bottom w:val="double" w:sz="6" w:space="0" w:color="44546A"/>
              <w:right w:val="double" w:sz="6" w:space="0" w:color="44546A"/>
            </w:tcBorders>
            <w:shd w:val="clear" w:color="000000" w:fill="1F4E78"/>
            <w:vAlign w:val="center"/>
            <w:hideMark/>
          </w:tcPr>
          <w:p w14:paraId="555DE9B1" w14:textId="77777777" w:rsidR="00BD43BD" w:rsidRDefault="00BD43BD" w:rsidP="00BD43BD">
            <w:pPr>
              <w:jc w:val="center"/>
              <w:rPr>
                <w:rFonts w:ascii="Book Antiqua" w:hAnsi="Book Antiqua" w:cs="Calibri"/>
                <w:b/>
                <w:bCs/>
                <w:color w:val="FFFFFF"/>
              </w:rPr>
            </w:pPr>
            <w:r>
              <w:rPr>
                <w:rFonts w:ascii="Book Antiqua" w:hAnsi="Book Antiqua" w:cs="Calibri"/>
                <w:b/>
                <w:bCs/>
                <w:color w:val="FFFFFF"/>
              </w:rPr>
              <w:t>Despacho</w:t>
            </w:r>
          </w:p>
        </w:tc>
        <w:tc>
          <w:tcPr>
            <w:tcW w:w="1020" w:type="dxa"/>
            <w:tcBorders>
              <w:top w:val="double" w:sz="6" w:space="0" w:color="44546A"/>
              <w:left w:val="nil"/>
              <w:bottom w:val="double" w:sz="6" w:space="0" w:color="44546A"/>
              <w:right w:val="double" w:sz="6" w:space="0" w:color="44546A"/>
            </w:tcBorders>
            <w:shd w:val="clear" w:color="000000" w:fill="1F4E78"/>
            <w:vAlign w:val="center"/>
            <w:hideMark/>
          </w:tcPr>
          <w:p w14:paraId="0EDB11F5" w14:textId="77777777" w:rsidR="00BD43BD" w:rsidRDefault="00BD43BD" w:rsidP="00BD43BD">
            <w:pPr>
              <w:jc w:val="center"/>
              <w:rPr>
                <w:rFonts w:ascii="Book Antiqua" w:hAnsi="Book Antiqua" w:cs="Calibri"/>
                <w:b/>
                <w:bCs/>
                <w:color w:val="FFFFFF"/>
              </w:rPr>
            </w:pPr>
            <w:r>
              <w:rPr>
                <w:rFonts w:ascii="Book Antiqua" w:hAnsi="Book Antiqua" w:cs="Calibri"/>
                <w:b/>
                <w:bCs/>
                <w:color w:val="FFFFFF"/>
              </w:rPr>
              <w:t>Materia</w:t>
            </w:r>
          </w:p>
        </w:tc>
        <w:tc>
          <w:tcPr>
            <w:tcW w:w="856" w:type="dxa"/>
            <w:tcBorders>
              <w:top w:val="double" w:sz="6" w:space="0" w:color="44546A"/>
              <w:left w:val="nil"/>
              <w:bottom w:val="double" w:sz="6" w:space="0" w:color="44546A"/>
              <w:right w:val="double" w:sz="6" w:space="0" w:color="44546A"/>
            </w:tcBorders>
            <w:shd w:val="clear" w:color="000000" w:fill="1F4E78"/>
            <w:vAlign w:val="center"/>
            <w:hideMark/>
          </w:tcPr>
          <w:p w14:paraId="054C91A4" w14:textId="77777777" w:rsidR="00BD43BD" w:rsidRDefault="00BD43BD" w:rsidP="00BD43BD">
            <w:pPr>
              <w:jc w:val="center"/>
              <w:rPr>
                <w:rFonts w:ascii="Book Antiqua" w:hAnsi="Book Antiqua" w:cs="Calibri"/>
                <w:b/>
                <w:bCs/>
                <w:color w:val="FFFFFF"/>
              </w:rPr>
            </w:pPr>
            <w:r>
              <w:rPr>
                <w:rFonts w:ascii="Book Antiqua" w:hAnsi="Book Antiqua" w:cs="Calibri"/>
                <w:b/>
                <w:bCs/>
                <w:color w:val="FFFFFF"/>
              </w:rPr>
              <w:t xml:space="preserve">Propuesta Cuota de trabajo por materia  </w:t>
            </w:r>
          </w:p>
        </w:tc>
      </w:tr>
      <w:tr w:rsidR="00BD43BD" w14:paraId="25F4232D" w14:textId="77777777" w:rsidTr="00535C15">
        <w:trPr>
          <w:gridAfter w:val="1"/>
          <w:wAfter w:w="1051" w:type="dxa"/>
          <w:trHeight w:val="372"/>
        </w:trPr>
        <w:tc>
          <w:tcPr>
            <w:tcW w:w="0" w:type="auto"/>
            <w:gridSpan w:val="2"/>
            <w:vMerge w:val="restart"/>
            <w:tcBorders>
              <w:top w:val="nil"/>
              <w:left w:val="double" w:sz="6" w:space="0" w:color="44546A"/>
              <w:bottom w:val="double" w:sz="6" w:space="0" w:color="44546A"/>
              <w:right w:val="double" w:sz="6" w:space="0" w:color="44546A"/>
            </w:tcBorders>
            <w:shd w:val="clear" w:color="000000" w:fill="D9E1F2"/>
            <w:noWrap/>
            <w:vAlign w:val="center"/>
            <w:hideMark/>
          </w:tcPr>
          <w:p w14:paraId="5D1E07FA" w14:textId="77777777" w:rsidR="00BD43BD" w:rsidRDefault="00BD43BD" w:rsidP="00BD43BD">
            <w:pPr>
              <w:rPr>
                <w:rFonts w:ascii="Book Antiqua" w:hAnsi="Book Antiqua" w:cs="Calibri"/>
                <w:sz w:val="24"/>
                <w:szCs w:val="24"/>
              </w:rPr>
            </w:pPr>
            <w:r>
              <w:rPr>
                <w:rFonts w:ascii="Book Antiqua" w:hAnsi="Book Antiqua" w:cs="Calibri"/>
              </w:rPr>
              <w:t xml:space="preserve">Tribunal Primer Circuito Judicial Zona Sur </w:t>
            </w:r>
          </w:p>
        </w:tc>
        <w:tc>
          <w:tcPr>
            <w:tcW w:w="1020" w:type="dxa"/>
            <w:tcBorders>
              <w:top w:val="nil"/>
              <w:left w:val="nil"/>
              <w:bottom w:val="double" w:sz="6" w:space="0" w:color="44546A"/>
              <w:right w:val="double" w:sz="6" w:space="0" w:color="44546A"/>
            </w:tcBorders>
            <w:shd w:val="clear" w:color="000000" w:fill="D9E1F2"/>
            <w:vAlign w:val="center"/>
            <w:hideMark/>
          </w:tcPr>
          <w:p w14:paraId="6424D92F" w14:textId="77777777" w:rsidR="00BD43BD" w:rsidRDefault="00BD43BD" w:rsidP="00535C15">
            <w:pPr>
              <w:jc w:val="center"/>
              <w:rPr>
                <w:rFonts w:ascii="Book Antiqua" w:hAnsi="Book Antiqua" w:cs="Calibri"/>
                <w:b/>
                <w:bCs/>
                <w:i/>
                <w:iCs/>
                <w:color w:val="000000"/>
              </w:rPr>
            </w:pPr>
            <w:r>
              <w:rPr>
                <w:rFonts w:ascii="Book Antiqua" w:hAnsi="Book Antiqua" w:cs="Calibri"/>
                <w:b/>
                <w:bCs/>
                <w:i/>
                <w:iCs/>
                <w:color w:val="000000"/>
              </w:rPr>
              <w:t>Civil</w:t>
            </w:r>
          </w:p>
        </w:tc>
        <w:tc>
          <w:tcPr>
            <w:tcW w:w="856" w:type="dxa"/>
            <w:tcBorders>
              <w:top w:val="nil"/>
              <w:left w:val="nil"/>
              <w:bottom w:val="double" w:sz="6" w:space="0" w:color="44546A"/>
              <w:right w:val="double" w:sz="6" w:space="0" w:color="44546A"/>
            </w:tcBorders>
            <w:shd w:val="clear" w:color="000000" w:fill="D9E1F2"/>
            <w:vAlign w:val="center"/>
            <w:hideMark/>
          </w:tcPr>
          <w:p w14:paraId="74ACD855" w14:textId="77777777" w:rsidR="00BD43BD" w:rsidRDefault="00BD43BD" w:rsidP="00BD43BD">
            <w:pPr>
              <w:jc w:val="center"/>
              <w:rPr>
                <w:rFonts w:ascii="Book Antiqua" w:hAnsi="Book Antiqua" w:cs="Calibri"/>
                <w:b/>
                <w:bCs/>
                <w:i/>
                <w:iCs/>
                <w:color w:val="000000"/>
              </w:rPr>
            </w:pPr>
            <w:r>
              <w:rPr>
                <w:rFonts w:ascii="Book Antiqua" w:hAnsi="Book Antiqua" w:cs="Calibri"/>
                <w:b/>
                <w:bCs/>
                <w:i/>
                <w:iCs/>
                <w:color w:val="000000"/>
              </w:rPr>
              <w:t>11</w:t>
            </w:r>
          </w:p>
        </w:tc>
      </w:tr>
      <w:tr w:rsidR="00BD43BD" w14:paraId="530606BA" w14:textId="77777777" w:rsidTr="00535C15">
        <w:trPr>
          <w:gridAfter w:val="1"/>
          <w:wAfter w:w="1051" w:type="dxa"/>
          <w:trHeight w:val="372"/>
        </w:trPr>
        <w:tc>
          <w:tcPr>
            <w:tcW w:w="0" w:type="auto"/>
            <w:gridSpan w:val="2"/>
            <w:vMerge/>
            <w:tcBorders>
              <w:top w:val="nil"/>
              <w:left w:val="double" w:sz="6" w:space="0" w:color="44546A"/>
              <w:bottom w:val="double" w:sz="6" w:space="0" w:color="44546A"/>
              <w:right w:val="double" w:sz="6" w:space="0" w:color="44546A"/>
            </w:tcBorders>
            <w:vAlign w:val="center"/>
            <w:hideMark/>
          </w:tcPr>
          <w:p w14:paraId="21F63736" w14:textId="77777777" w:rsidR="00BD43BD" w:rsidRDefault="00BD43BD" w:rsidP="00BD43BD">
            <w:pPr>
              <w:rPr>
                <w:rFonts w:ascii="Book Antiqua" w:hAnsi="Book Antiqua" w:cs="Calibri"/>
                <w:sz w:val="24"/>
                <w:szCs w:val="24"/>
              </w:rPr>
            </w:pPr>
          </w:p>
        </w:tc>
        <w:tc>
          <w:tcPr>
            <w:tcW w:w="1020" w:type="dxa"/>
            <w:tcBorders>
              <w:top w:val="nil"/>
              <w:left w:val="nil"/>
              <w:bottom w:val="double" w:sz="6" w:space="0" w:color="44546A"/>
              <w:right w:val="double" w:sz="6" w:space="0" w:color="44546A"/>
            </w:tcBorders>
            <w:shd w:val="clear" w:color="000000" w:fill="D9E1F2"/>
            <w:vAlign w:val="center"/>
            <w:hideMark/>
          </w:tcPr>
          <w:p w14:paraId="7DB0DF7D" w14:textId="77777777" w:rsidR="00BD43BD" w:rsidRDefault="00BD43BD" w:rsidP="00535C15">
            <w:pPr>
              <w:jc w:val="center"/>
              <w:rPr>
                <w:rFonts w:ascii="Book Antiqua" w:hAnsi="Book Antiqua" w:cs="Calibri"/>
                <w:b/>
                <w:bCs/>
                <w:i/>
                <w:iCs/>
                <w:color w:val="000000"/>
              </w:rPr>
            </w:pPr>
            <w:r>
              <w:rPr>
                <w:rFonts w:ascii="Book Antiqua" w:hAnsi="Book Antiqua" w:cs="Calibri"/>
                <w:b/>
                <w:bCs/>
                <w:i/>
                <w:iCs/>
                <w:color w:val="000000"/>
              </w:rPr>
              <w:t>Trabajo</w:t>
            </w:r>
          </w:p>
        </w:tc>
        <w:tc>
          <w:tcPr>
            <w:tcW w:w="856" w:type="dxa"/>
            <w:tcBorders>
              <w:top w:val="nil"/>
              <w:left w:val="nil"/>
              <w:bottom w:val="double" w:sz="6" w:space="0" w:color="44546A"/>
              <w:right w:val="double" w:sz="6" w:space="0" w:color="44546A"/>
            </w:tcBorders>
            <w:shd w:val="clear" w:color="000000" w:fill="D9E1F2"/>
            <w:vAlign w:val="center"/>
            <w:hideMark/>
          </w:tcPr>
          <w:p w14:paraId="057ACC8E" w14:textId="77777777" w:rsidR="00BD43BD" w:rsidRDefault="00BD43BD" w:rsidP="00BD43BD">
            <w:pPr>
              <w:jc w:val="center"/>
              <w:rPr>
                <w:rFonts w:ascii="Book Antiqua" w:hAnsi="Book Antiqua" w:cs="Calibri"/>
                <w:b/>
                <w:bCs/>
                <w:i/>
                <w:iCs/>
                <w:color w:val="000000"/>
              </w:rPr>
            </w:pPr>
            <w:r>
              <w:rPr>
                <w:rFonts w:ascii="Book Antiqua" w:hAnsi="Book Antiqua" w:cs="Calibri"/>
                <w:b/>
                <w:bCs/>
                <w:i/>
                <w:iCs/>
                <w:color w:val="000000"/>
              </w:rPr>
              <w:t>6</w:t>
            </w:r>
          </w:p>
        </w:tc>
      </w:tr>
      <w:tr w:rsidR="00BD43BD" w14:paraId="209D2C52" w14:textId="77777777" w:rsidTr="00535C15">
        <w:trPr>
          <w:gridAfter w:val="1"/>
          <w:wAfter w:w="1051" w:type="dxa"/>
          <w:trHeight w:val="372"/>
        </w:trPr>
        <w:tc>
          <w:tcPr>
            <w:tcW w:w="0" w:type="auto"/>
            <w:gridSpan w:val="2"/>
            <w:vMerge w:val="restart"/>
            <w:tcBorders>
              <w:top w:val="nil"/>
              <w:left w:val="double" w:sz="6" w:space="0" w:color="44546A"/>
              <w:bottom w:val="double" w:sz="6" w:space="0" w:color="44546A"/>
              <w:right w:val="double" w:sz="6" w:space="0" w:color="44546A"/>
            </w:tcBorders>
            <w:shd w:val="clear" w:color="auto" w:fill="auto"/>
            <w:noWrap/>
            <w:vAlign w:val="center"/>
            <w:hideMark/>
          </w:tcPr>
          <w:p w14:paraId="293CEEAE" w14:textId="77777777" w:rsidR="00BD43BD" w:rsidRDefault="00BD43BD" w:rsidP="00BD43BD">
            <w:pPr>
              <w:rPr>
                <w:rFonts w:ascii="Book Antiqua" w:hAnsi="Book Antiqua" w:cs="Calibri"/>
                <w:sz w:val="24"/>
                <w:szCs w:val="24"/>
              </w:rPr>
            </w:pPr>
            <w:r>
              <w:rPr>
                <w:rFonts w:ascii="Book Antiqua" w:hAnsi="Book Antiqua" w:cs="Calibri"/>
              </w:rPr>
              <w:t xml:space="preserve">Tribunal de Primer Circuito Judicial de Alajuela </w:t>
            </w:r>
          </w:p>
        </w:tc>
        <w:tc>
          <w:tcPr>
            <w:tcW w:w="1020" w:type="dxa"/>
            <w:tcBorders>
              <w:top w:val="nil"/>
              <w:left w:val="nil"/>
              <w:bottom w:val="double" w:sz="6" w:space="0" w:color="44546A"/>
              <w:right w:val="double" w:sz="6" w:space="0" w:color="44546A"/>
            </w:tcBorders>
            <w:shd w:val="clear" w:color="auto" w:fill="auto"/>
            <w:vAlign w:val="center"/>
            <w:hideMark/>
          </w:tcPr>
          <w:p w14:paraId="219D4C46" w14:textId="77777777" w:rsidR="00BD43BD" w:rsidRDefault="00BD43BD" w:rsidP="00535C15">
            <w:pPr>
              <w:jc w:val="center"/>
              <w:rPr>
                <w:rFonts w:ascii="Book Antiqua" w:hAnsi="Book Antiqua" w:cs="Calibri"/>
                <w:b/>
                <w:bCs/>
                <w:i/>
                <w:iCs/>
                <w:color w:val="000000"/>
              </w:rPr>
            </w:pPr>
            <w:r>
              <w:rPr>
                <w:rFonts w:ascii="Book Antiqua" w:hAnsi="Book Antiqua" w:cs="Calibri"/>
                <w:b/>
                <w:bCs/>
                <w:i/>
                <w:iCs/>
                <w:color w:val="000000"/>
              </w:rPr>
              <w:t>Civil</w:t>
            </w:r>
          </w:p>
        </w:tc>
        <w:tc>
          <w:tcPr>
            <w:tcW w:w="856" w:type="dxa"/>
            <w:tcBorders>
              <w:top w:val="nil"/>
              <w:left w:val="nil"/>
              <w:bottom w:val="double" w:sz="6" w:space="0" w:color="44546A"/>
              <w:right w:val="double" w:sz="6" w:space="0" w:color="44546A"/>
            </w:tcBorders>
            <w:shd w:val="clear" w:color="auto" w:fill="auto"/>
            <w:vAlign w:val="center"/>
            <w:hideMark/>
          </w:tcPr>
          <w:p w14:paraId="2A83E2B6" w14:textId="77777777" w:rsidR="00BD43BD" w:rsidRDefault="00BD43BD" w:rsidP="00BD43BD">
            <w:pPr>
              <w:jc w:val="center"/>
              <w:rPr>
                <w:rFonts w:ascii="Book Antiqua" w:hAnsi="Book Antiqua" w:cs="Calibri"/>
                <w:b/>
                <w:bCs/>
                <w:i/>
                <w:iCs/>
                <w:color w:val="000000"/>
              </w:rPr>
            </w:pPr>
            <w:r>
              <w:rPr>
                <w:rFonts w:ascii="Book Antiqua" w:hAnsi="Book Antiqua" w:cs="Calibri"/>
                <w:b/>
                <w:bCs/>
                <w:i/>
                <w:iCs/>
                <w:color w:val="000000"/>
              </w:rPr>
              <w:t>11</w:t>
            </w:r>
          </w:p>
        </w:tc>
      </w:tr>
      <w:tr w:rsidR="00BD43BD" w14:paraId="7DC9158F" w14:textId="77777777" w:rsidTr="00535C15">
        <w:trPr>
          <w:gridAfter w:val="1"/>
          <w:wAfter w:w="1051" w:type="dxa"/>
          <w:trHeight w:val="372"/>
        </w:trPr>
        <w:tc>
          <w:tcPr>
            <w:tcW w:w="0" w:type="auto"/>
            <w:gridSpan w:val="2"/>
            <w:vMerge/>
            <w:tcBorders>
              <w:top w:val="nil"/>
              <w:left w:val="double" w:sz="6" w:space="0" w:color="44546A"/>
              <w:bottom w:val="double" w:sz="6" w:space="0" w:color="44546A"/>
              <w:right w:val="double" w:sz="6" w:space="0" w:color="44546A"/>
            </w:tcBorders>
            <w:vAlign w:val="center"/>
            <w:hideMark/>
          </w:tcPr>
          <w:p w14:paraId="48BA1536" w14:textId="77777777" w:rsidR="00BD43BD" w:rsidRDefault="00BD43BD" w:rsidP="00BD43BD">
            <w:pPr>
              <w:rPr>
                <w:rFonts w:ascii="Book Antiqua" w:hAnsi="Book Antiqua" w:cs="Calibri"/>
                <w:sz w:val="24"/>
                <w:szCs w:val="24"/>
              </w:rPr>
            </w:pPr>
          </w:p>
        </w:tc>
        <w:tc>
          <w:tcPr>
            <w:tcW w:w="1020" w:type="dxa"/>
            <w:tcBorders>
              <w:top w:val="nil"/>
              <w:left w:val="nil"/>
              <w:bottom w:val="double" w:sz="6" w:space="0" w:color="44546A"/>
              <w:right w:val="double" w:sz="6" w:space="0" w:color="44546A"/>
            </w:tcBorders>
            <w:shd w:val="clear" w:color="auto" w:fill="auto"/>
            <w:vAlign w:val="center"/>
            <w:hideMark/>
          </w:tcPr>
          <w:p w14:paraId="25CCA723" w14:textId="77777777" w:rsidR="00BD43BD" w:rsidRDefault="00BD43BD" w:rsidP="00535C15">
            <w:pPr>
              <w:jc w:val="center"/>
              <w:rPr>
                <w:rFonts w:ascii="Book Antiqua" w:hAnsi="Book Antiqua" w:cs="Calibri"/>
                <w:b/>
                <w:bCs/>
                <w:i/>
                <w:iCs/>
                <w:color w:val="000000"/>
              </w:rPr>
            </w:pPr>
            <w:r>
              <w:rPr>
                <w:rFonts w:ascii="Book Antiqua" w:hAnsi="Book Antiqua" w:cs="Calibri"/>
                <w:b/>
                <w:bCs/>
                <w:i/>
                <w:iCs/>
                <w:color w:val="000000"/>
              </w:rPr>
              <w:t>Trabajo</w:t>
            </w:r>
          </w:p>
        </w:tc>
        <w:tc>
          <w:tcPr>
            <w:tcW w:w="856" w:type="dxa"/>
            <w:tcBorders>
              <w:top w:val="nil"/>
              <w:left w:val="nil"/>
              <w:bottom w:val="double" w:sz="6" w:space="0" w:color="44546A"/>
              <w:right w:val="double" w:sz="6" w:space="0" w:color="44546A"/>
            </w:tcBorders>
            <w:shd w:val="clear" w:color="auto" w:fill="auto"/>
            <w:vAlign w:val="center"/>
            <w:hideMark/>
          </w:tcPr>
          <w:p w14:paraId="3734C07C" w14:textId="77777777" w:rsidR="00BD43BD" w:rsidRDefault="00BD43BD" w:rsidP="00BD43BD">
            <w:pPr>
              <w:jc w:val="center"/>
              <w:rPr>
                <w:rFonts w:ascii="Book Antiqua" w:hAnsi="Book Antiqua" w:cs="Calibri"/>
                <w:b/>
                <w:bCs/>
                <w:i/>
                <w:iCs/>
                <w:color w:val="000000"/>
              </w:rPr>
            </w:pPr>
            <w:r>
              <w:rPr>
                <w:rFonts w:ascii="Book Antiqua" w:hAnsi="Book Antiqua" w:cs="Calibri"/>
                <w:b/>
                <w:bCs/>
                <w:i/>
                <w:iCs/>
                <w:color w:val="000000"/>
              </w:rPr>
              <w:t>6</w:t>
            </w:r>
          </w:p>
        </w:tc>
      </w:tr>
      <w:tr w:rsidR="00BD43BD" w14:paraId="18F49074" w14:textId="77777777" w:rsidTr="00535C15">
        <w:trPr>
          <w:gridAfter w:val="1"/>
          <w:wAfter w:w="1051" w:type="dxa"/>
          <w:trHeight w:val="372"/>
        </w:trPr>
        <w:tc>
          <w:tcPr>
            <w:tcW w:w="0" w:type="auto"/>
            <w:gridSpan w:val="2"/>
            <w:vMerge w:val="restart"/>
            <w:tcBorders>
              <w:top w:val="nil"/>
              <w:left w:val="double" w:sz="6" w:space="0" w:color="44546A"/>
              <w:bottom w:val="double" w:sz="6" w:space="0" w:color="44546A"/>
              <w:right w:val="double" w:sz="6" w:space="0" w:color="44546A"/>
            </w:tcBorders>
            <w:shd w:val="clear" w:color="000000" w:fill="D9E1F2"/>
            <w:noWrap/>
            <w:vAlign w:val="center"/>
            <w:hideMark/>
          </w:tcPr>
          <w:p w14:paraId="264CF7DA" w14:textId="77777777" w:rsidR="00BD43BD" w:rsidRDefault="00BD43BD" w:rsidP="00BD43BD">
            <w:pPr>
              <w:rPr>
                <w:rFonts w:ascii="Book Antiqua" w:hAnsi="Book Antiqua" w:cs="Calibri"/>
                <w:sz w:val="24"/>
                <w:szCs w:val="24"/>
              </w:rPr>
            </w:pPr>
            <w:r>
              <w:rPr>
                <w:rFonts w:ascii="Book Antiqua" w:hAnsi="Book Antiqua" w:cs="Calibri"/>
              </w:rPr>
              <w:t>Tribunal de Cartago</w:t>
            </w:r>
          </w:p>
        </w:tc>
        <w:tc>
          <w:tcPr>
            <w:tcW w:w="1020" w:type="dxa"/>
            <w:tcBorders>
              <w:top w:val="nil"/>
              <w:left w:val="nil"/>
              <w:bottom w:val="double" w:sz="6" w:space="0" w:color="44546A"/>
              <w:right w:val="double" w:sz="6" w:space="0" w:color="44546A"/>
            </w:tcBorders>
            <w:shd w:val="clear" w:color="000000" w:fill="D9E1F2"/>
            <w:vAlign w:val="center"/>
            <w:hideMark/>
          </w:tcPr>
          <w:p w14:paraId="71CD250F" w14:textId="77777777" w:rsidR="00BD43BD" w:rsidRDefault="00BD43BD" w:rsidP="00535C15">
            <w:pPr>
              <w:jc w:val="center"/>
              <w:rPr>
                <w:rFonts w:ascii="Book Antiqua" w:hAnsi="Book Antiqua" w:cs="Calibri"/>
                <w:b/>
                <w:bCs/>
                <w:i/>
                <w:iCs/>
                <w:color w:val="000000"/>
              </w:rPr>
            </w:pPr>
            <w:r>
              <w:rPr>
                <w:rFonts w:ascii="Book Antiqua" w:hAnsi="Book Antiqua" w:cs="Calibri"/>
                <w:b/>
                <w:bCs/>
                <w:i/>
                <w:iCs/>
                <w:color w:val="000000"/>
              </w:rPr>
              <w:t>Civil</w:t>
            </w:r>
          </w:p>
        </w:tc>
        <w:tc>
          <w:tcPr>
            <w:tcW w:w="856" w:type="dxa"/>
            <w:tcBorders>
              <w:top w:val="nil"/>
              <w:left w:val="nil"/>
              <w:bottom w:val="double" w:sz="6" w:space="0" w:color="44546A"/>
              <w:right w:val="double" w:sz="6" w:space="0" w:color="44546A"/>
            </w:tcBorders>
            <w:shd w:val="clear" w:color="000000" w:fill="D9E1F2"/>
            <w:vAlign w:val="center"/>
            <w:hideMark/>
          </w:tcPr>
          <w:p w14:paraId="6613997F" w14:textId="77777777" w:rsidR="00BD43BD" w:rsidRDefault="00BD43BD" w:rsidP="00BD43BD">
            <w:pPr>
              <w:jc w:val="center"/>
              <w:rPr>
                <w:rFonts w:ascii="Book Antiqua" w:hAnsi="Book Antiqua" w:cs="Calibri"/>
                <w:b/>
                <w:bCs/>
                <w:i/>
                <w:iCs/>
                <w:color w:val="000000"/>
              </w:rPr>
            </w:pPr>
            <w:r>
              <w:rPr>
                <w:rFonts w:ascii="Book Antiqua" w:hAnsi="Book Antiqua" w:cs="Calibri"/>
                <w:b/>
                <w:bCs/>
                <w:i/>
                <w:iCs/>
                <w:color w:val="000000"/>
              </w:rPr>
              <w:t>8</w:t>
            </w:r>
          </w:p>
        </w:tc>
      </w:tr>
      <w:tr w:rsidR="00BD43BD" w14:paraId="75A8F020" w14:textId="77777777" w:rsidTr="00535C15">
        <w:trPr>
          <w:gridAfter w:val="1"/>
          <w:wAfter w:w="1051" w:type="dxa"/>
          <w:trHeight w:val="372"/>
        </w:trPr>
        <w:tc>
          <w:tcPr>
            <w:tcW w:w="0" w:type="auto"/>
            <w:gridSpan w:val="2"/>
            <w:vMerge/>
            <w:tcBorders>
              <w:top w:val="nil"/>
              <w:left w:val="double" w:sz="6" w:space="0" w:color="44546A"/>
              <w:bottom w:val="double" w:sz="6" w:space="0" w:color="44546A"/>
              <w:right w:val="double" w:sz="6" w:space="0" w:color="44546A"/>
            </w:tcBorders>
            <w:vAlign w:val="center"/>
            <w:hideMark/>
          </w:tcPr>
          <w:p w14:paraId="79567A85" w14:textId="77777777" w:rsidR="00BD43BD" w:rsidRDefault="00BD43BD" w:rsidP="00BD43BD">
            <w:pPr>
              <w:rPr>
                <w:rFonts w:ascii="Book Antiqua" w:hAnsi="Book Antiqua" w:cs="Calibri"/>
                <w:sz w:val="24"/>
                <w:szCs w:val="24"/>
              </w:rPr>
            </w:pPr>
          </w:p>
        </w:tc>
        <w:tc>
          <w:tcPr>
            <w:tcW w:w="1020" w:type="dxa"/>
            <w:tcBorders>
              <w:top w:val="nil"/>
              <w:left w:val="nil"/>
              <w:bottom w:val="double" w:sz="6" w:space="0" w:color="44546A"/>
              <w:right w:val="double" w:sz="6" w:space="0" w:color="44546A"/>
            </w:tcBorders>
            <w:shd w:val="clear" w:color="000000" w:fill="D9E1F2"/>
            <w:vAlign w:val="center"/>
            <w:hideMark/>
          </w:tcPr>
          <w:p w14:paraId="05A72BFE" w14:textId="77777777" w:rsidR="00BD43BD" w:rsidRDefault="00BD43BD" w:rsidP="00535C15">
            <w:pPr>
              <w:jc w:val="center"/>
              <w:rPr>
                <w:rFonts w:ascii="Book Antiqua" w:hAnsi="Book Antiqua" w:cs="Calibri"/>
                <w:b/>
                <w:bCs/>
                <w:i/>
                <w:iCs/>
                <w:color w:val="000000"/>
              </w:rPr>
            </w:pPr>
            <w:r>
              <w:rPr>
                <w:rFonts w:ascii="Book Antiqua" w:hAnsi="Book Antiqua" w:cs="Calibri"/>
                <w:b/>
                <w:bCs/>
                <w:i/>
                <w:iCs/>
                <w:color w:val="000000"/>
              </w:rPr>
              <w:t>Trabajo</w:t>
            </w:r>
          </w:p>
        </w:tc>
        <w:tc>
          <w:tcPr>
            <w:tcW w:w="856" w:type="dxa"/>
            <w:tcBorders>
              <w:top w:val="nil"/>
              <w:left w:val="nil"/>
              <w:bottom w:val="double" w:sz="6" w:space="0" w:color="44546A"/>
              <w:right w:val="double" w:sz="6" w:space="0" w:color="44546A"/>
            </w:tcBorders>
            <w:shd w:val="clear" w:color="000000" w:fill="D9E1F2"/>
            <w:vAlign w:val="center"/>
            <w:hideMark/>
          </w:tcPr>
          <w:p w14:paraId="794F637F" w14:textId="77777777" w:rsidR="00BD43BD" w:rsidRDefault="00BD43BD" w:rsidP="00BD43BD">
            <w:pPr>
              <w:jc w:val="center"/>
              <w:rPr>
                <w:rFonts w:ascii="Book Antiqua" w:hAnsi="Book Antiqua" w:cs="Calibri"/>
                <w:b/>
                <w:bCs/>
                <w:i/>
                <w:iCs/>
                <w:color w:val="000000"/>
              </w:rPr>
            </w:pPr>
            <w:r>
              <w:rPr>
                <w:rFonts w:ascii="Book Antiqua" w:hAnsi="Book Antiqua" w:cs="Calibri"/>
                <w:b/>
                <w:bCs/>
                <w:i/>
                <w:iCs/>
                <w:color w:val="000000"/>
              </w:rPr>
              <w:t>9</w:t>
            </w:r>
          </w:p>
        </w:tc>
      </w:tr>
      <w:tr w:rsidR="00BD43BD" w14:paraId="19274795" w14:textId="77777777" w:rsidTr="00535C15">
        <w:trPr>
          <w:gridAfter w:val="1"/>
          <w:wAfter w:w="1051" w:type="dxa"/>
          <w:trHeight w:val="372"/>
        </w:trPr>
        <w:tc>
          <w:tcPr>
            <w:tcW w:w="0" w:type="auto"/>
            <w:gridSpan w:val="2"/>
            <w:vMerge w:val="restart"/>
            <w:tcBorders>
              <w:top w:val="nil"/>
              <w:left w:val="double" w:sz="6" w:space="0" w:color="44546A"/>
              <w:bottom w:val="double" w:sz="6" w:space="0" w:color="44546A"/>
              <w:right w:val="double" w:sz="6" w:space="0" w:color="44546A"/>
            </w:tcBorders>
            <w:shd w:val="clear" w:color="auto" w:fill="auto"/>
            <w:noWrap/>
            <w:vAlign w:val="center"/>
            <w:hideMark/>
          </w:tcPr>
          <w:p w14:paraId="6D10F887" w14:textId="77777777" w:rsidR="00BD43BD" w:rsidRDefault="00BD43BD" w:rsidP="00BD43BD">
            <w:pPr>
              <w:rPr>
                <w:rFonts w:ascii="Book Antiqua" w:hAnsi="Book Antiqua" w:cs="Calibri"/>
                <w:sz w:val="24"/>
                <w:szCs w:val="24"/>
              </w:rPr>
            </w:pPr>
            <w:r>
              <w:rPr>
                <w:rFonts w:ascii="Book Antiqua" w:hAnsi="Book Antiqua" w:cs="Calibri"/>
              </w:rPr>
              <w:t>Tribunal de Heredia</w:t>
            </w:r>
          </w:p>
        </w:tc>
        <w:tc>
          <w:tcPr>
            <w:tcW w:w="1020" w:type="dxa"/>
            <w:tcBorders>
              <w:top w:val="nil"/>
              <w:left w:val="nil"/>
              <w:bottom w:val="double" w:sz="6" w:space="0" w:color="44546A"/>
              <w:right w:val="double" w:sz="6" w:space="0" w:color="44546A"/>
            </w:tcBorders>
            <w:shd w:val="clear" w:color="auto" w:fill="auto"/>
            <w:vAlign w:val="center"/>
            <w:hideMark/>
          </w:tcPr>
          <w:p w14:paraId="3F1B4B74" w14:textId="77777777" w:rsidR="00BD43BD" w:rsidRDefault="00BD43BD" w:rsidP="00535C15">
            <w:pPr>
              <w:jc w:val="center"/>
              <w:rPr>
                <w:rFonts w:ascii="Book Antiqua" w:hAnsi="Book Antiqua" w:cs="Calibri"/>
                <w:b/>
                <w:bCs/>
                <w:i/>
                <w:iCs/>
                <w:color w:val="000000"/>
              </w:rPr>
            </w:pPr>
            <w:r>
              <w:rPr>
                <w:rFonts w:ascii="Book Antiqua" w:hAnsi="Book Antiqua" w:cs="Calibri"/>
                <w:b/>
                <w:bCs/>
                <w:i/>
                <w:iCs/>
                <w:color w:val="000000"/>
              </w:rPr>
              <w:t>Civil</w:t>
            </w:r>
          </w:p>
        </w:tc>
        <w:tc>
          <w:tcPr>
            <w:tcW w:w="856" w:type="dxa"/>
            <w:tcBorders>
              <w:top w:val="nil"/>
              <w:left w:val="nil"/>
              <w:bottom w:val="double" w:sz="6" w:space="0" w:color="44546A"/>
              <w:right w:val="double" w:sz="6" w:space="0" w:color="44546A"/>
            </w:tcBorders>
            <w:shd w:val="clear" w:color="auto" w:fill="auto"/>
            <w:vAlign w:val="center"/>
            <w:hideMark/>
          </w:tcPr>
          <w:p w14:paraId="152A7716" w14:textId="77777777" w:rsidR="00BD43BD" w:rsidRDefault="00BD43BD" w:rsidP="00BD43BD">
            <w:pPr>
              <w:jc w:val="center"/>
              <w:rPr>
                <w:rFonts w:ascii="Book Antiqua" w:hAnsi="Book Antiqua" w:cs="Calibri"/>
                <w:b/>
                <w:bCs/>
                <w:i/>
                <w:iCs/>
                <w:color w:val="000000"/>
              </w:rPr>
            </w:pPr>
            <w:r>
              <w:rPr>
                <w:rFonts w:ascii="Book Antiqua" w:hAnsi="Book Antiqua" w:cs="Calibri"/>
                <w:b/>
                <w:bCs/>
                <w:i/>
                <w:iCs/>
                <w:color w:val="000000"/>
              </w:rPr>
              <w:t>9</w:t>
            </w:r>
          </w:p>
        </w:tc>
      </w:tr>
      <w:tr w:rsidR="00BD43BD" w14:paraId="44D48C3E" w14:textId="77777777" w:rsidTr="00535C15">
        <w:trPr>
          <w:gridAfter w:val="1"/>
          <w:wAfter w:w="1051" w:type="dxa"/>
          <w:trHeight w:val="350"/>
        </w:trPr>
        <w:tc>
          <w:tcPr>
            <w:tcW w:w="0" w:type="auto"/>
            <w:gridSpan w:val="2"/>
            <w:vMerge/>
            <w:tcBorders>
              <w:top w:val="nil"/>
              <w:left w:val="double" w:sz="6" w:space="0" w:color="44546A"/>
              <w:bottom w:val="double" w:sz="6" w:space="0" w:color="44546A"/>
              <w:right w:val="double" w:sz="6" w:space="0" w:color="44546A"/>
            </w:tcBorders>
            <w:vAlign w:val="center"/>
            <w:hideMark/>
          </w:tcPr>
          <w:p w14:paraId="12F1E8A3" w14:textId="77777777" w:rsidR="00BD43BD" w:rsidRDefault="00BD43BD" w:rsidP="00BD43BD">
            <w:pPr>
              <w:rPr>
                <w:rFonts w:ascii="Book Antiqua" w:hAnsi="Book Antiqua" w:cs="Calibri"/>
                <w:sz w:val="24"/>
                <w:szCs w:val="24"/>
              </w:rPr>
            </w:pPr>
          </w:p>
        </w:tc>
        <w:tc>
          <w:tcPr>
            <w:tcW w:w="1020" w:type="dxa"/>
            <w:tcBorders>
              <w:top w:val="nil"/>
              <w:left w:val="nil"/>
              <w:bottom w:val="double" w:sz="6" w:space="0" w:color="44546A"/>
              <w:right w:val="double" w:sz="6" w:space="0" w:color="44546A"/>
            </w:tcBorders>
            <w:shd w:val="clear" w:color="auto" w:fill="auto"/>
            <w:vAlign w:val="center"/>
            <w:hideMark/>
          </w:tcPr>
          <w:p w14:paraId="65766FF5" w14:textId="77777777" w:rsidR="00BD43BD" w:rsidRDefault="00BD43BD" w:rsidP="00535C15">
            <w:pPr>
              <w:jc w:val="center"/>
              <w:rPr>
                <w:rFonts w:ascii="Book Antiqua" w:hAnsi="Book Antiqua" w:cs="Calibri"/>
                <w:b/>
                <w:bCs/>
                <w:i/>
                <w:iCs/>
                <w:color w:val="000000"/>
              </w:rPr>
            </w:pPr>
            <w:r>
              <w:rPr>
                <w:rFonts w:ascii="Book Antiqua" w:hAnsi="Book Antiqua" w:cs="Calibri"/>
                <w:b/>
                <w:bCs/>
                <w:i/>
                <w:iCs/>
                <w:color w:val="000000"/>
              </w:rPr>
              <w:t>Trabajo</w:t>
            </w:r>
          </w:p>
        </w:tc>
        <w:tc>
          <w:tcPr>
            <w:tcW w:w="856" w:type="dxa"/>
            <w:tcBorders>
              <w:top w:val="nil"/>
              <w:left w:val="nil"/>
              <w:bottom w:val="double" w:sz="6" w:space="0" w:color="44546A"/>
              <w:right w:val="double" w:sz="6" w:space="0" w:color="44546A"/>
            </w:tcBorders>
            <w:shd w:val="clear" w:color="auto" w:fill="auto"/>
            <w:vAlign w:val="center"/>
            <w:hideMark/>
          </w:tcPr>
          <w:p w14:paraId="0BB1F36E" w14:textId="77777777" w:rsidR="00BD43BD" w:rsidRDefault="00BD43BD" w:rsidP="00BD43BD">
            <w:pPr>
              <w:jc w:val="center"/>
              <w:rPr>
                <w:rFonts w:ascii="Book Antiqua" w:hAnsi="Book Antiqua" w:cs="Calibri"/>
                <w:b/>
                <w:bCs/>
                <w:i/>
                <w:iCs/>
                <w:color w:val="000000"/>
              </w:rPr>
            </w:pPr>
            <w:r>
              <w:rPr>
                <w:rFonts w:ascii="Book Antiqua" w:hAnsi="Book Antiqua" w:cs="Calibri"/>
                <w:b/>
                <w:bCs/>
                <w:i/>
                <w:iCs/>
                <w:color w:val="000000"/>
              </w:rPr>
              <w:t>8</w:t>
            </w:r>
          </w:p>
        </w:tc>
      </w:tr>
      <w:tr w:rsidR="00BD43BD" w14:paraId="5C44E083" w14:textId="77777777" w:rsidTr="00535C15">
        <w:trPr>
          <w:gridAfter w:val="1"/>
          <w:wAfter w:w="1051" w:type="dxa"/>
          <w:trHeight w:val="350"/>
        </w:trPr>
        <w:tc>
          <w:tcPr>
            <w:tcW w:w="0" w:type="auto"/>
            <w:gridSpan w:val="2"/>
            <w:vMerge w:val="restart"/>
            <w:tcBorders>
              <w:top w:val="nil"/>
              <w:left w:val="double" w:sz="6" w:space="0" w:color="44546A"/>
              <w:bottom w:val="double" w:sz="6" w:space="0" w:color="44546A"/>
              <w:right w:val="double" w:sz="6" w:space="0" w:color="44546A"/>
            </w:tcBorders>
            <w:shd w:val="clear" w:color="000000" w:fill="D9E1F2"/>
            <w:noWrap/>
            <w:vAlign w:val="center"/>
            <w:hideMark/>
          </w:tcPr>
          <w:p w14:paraId="2914F2BA" w14:textId="77777777" w:rsidR="00BD43BD" w:rsidRDefault="00BD43BD" w:rsidP="00BD43BD">
            <w:pPr>
              <w:rPr>
                <w:rFonts w:ascii="Book Antiqua" w:hAnsi="Book Antiqua" w:cs="Calibri"/>
                <w:sz w:val="24"/>
                <w:szCs w:val="24"/>
              </w:rPr>
            </w:pPr>
            <w:r>
              <w:rPr>
                <w:rFonts w:ascii="Book Antiqua" w:hAnsi="Book Antiqua" w:cs="Calibri"/>
              </w:rPr>
              <w:t xml:space="preserve">Tribunal Primer Circuito Judicial de Guanacaste (Liberia) </w:t>
            </w:r>
          </w:p>
        </w:tc>
        <w:tc>
          <w:tcPr>
            <w:tcW w:w="1020" w:type="dxa"/>
            <w:tcBorders>
              <w:top w:val="nil"/>
              <w:left w:val="nil"/>
              <w:bottom w:val="double" w:sz="6" w:space="0" w:color="44546A"/>
              <w:right w:val="double" w:sz="6" w:space="0" w:color="44546A"/>
            </w:tcBorders>
            <w:shd w:val="clear" w:color="000000" w:fill="D9E1F2"/>
            <w:vAlign w:val="center"/>
            <w:hideMark/>
          </w:tcPr>
          <w:p w14:paraId="23B098FF" w14:textId="77777777" w:rsidR="00BD43BD" w:rsidRDefault="00BD43BD" w:rsidP="00535C15">
            <w:pPr>
              <w:jc w:val="center"/>
              <w:rPr>
                <w:rFonts w:ascii="Book Antiqua" w:hAnsi="Book Antiqua" w:cs="Calibri"/>
                <w:b/>
                <w:bCs/>
                <w:i/>
                <w:iCs/>
                <w:color w:val="000000"/>
              </w:rPr>
            </w:pPr>
            <w:r>
              <w:rPr>
                <w:rFonts w:ascii="Book Antiqua" w:hAnsi="Book Antiqua" w:cs="Calibri"/>
                <w:b/>
                <w:bCs/>
                <w:i/>
                <w:iCs/>
                <w:color w:val="000000"/>
              </w:rPr>
              <w:t>Civil</w:t>
            </w:r>
          </w:p>
        </w:tc>
        <w:tc>
          <w:tcPr>
            <w:tcW w:w="856" w:type="dxa"/>
            <w:tcBorders>
              <w:top w:val="nil"/>
              <w:left w:val="nil"/>
              <w:bottom w:val="double" w:sz="6" w:space="0" w:color="44546A"/>
              <w:right w:val="double" w:sz="6" w:space="0" w:color="44546A"/>
            </w:tcBorders>
            <w:shd w:val="clear" w:color="000000" w:fill="D9E1F2"/>
            <w:vAlign w:val="center"/>
            <w:hideMark/>
          </w:tcPr>
          <w:p w14:paraId="48EA36CB" w14:textId="77777777" w:rsidR="00BD43BD" w:rsidRDefault="00BD43BD" w:rsidP="00BD43BD">
            <w:pPr>
              <w:jc w:val="center"/>
              <w:rPr>
                <w:rFonts w:ascii="Book Antiqua" w:hAnsi="Book Antiqua" w:cs="Calibri"/>
                <w:b/>
                <w:bCs/>
                <w:i/>
                <w:iCs/>
                <w:color w:val="000000"/>
              </w:rPr>
            </w:pPr>
            <w:r>
              <w:rPr>
                <w:rFonts w:ascii="Book Antiqua" w:hAnsi="Book Antiqua" w:cs="Calibri"/>
                <w:b/>
                <w:bCs/>
                <w:i/>
                <w:iCs/>
                <w:color w:val="000000"/>
              </w:rPr>
              <w:t>9</w:t>
            </w:r>
          </w:p>
        </w:tc>
      </w:tr>
      <w:tr w:rsidR="00BD43BD" w14:paraId="6A20F807" w14:textId="77777777" w:rsidTr="00535C15">
        <w:trPr>
          <w:gridAfter w:val="1"/>
          <w:wAfter w:w="1051" w:type="dxa"/>
          <w:trHeight w:val="350"/>
        </w:trPr>
        <w:tc>
          <w:tcPr>
            <w:tcW w:w="0" w:type="auto"/>
            <w:gridSpan w:val="2"/>
            <w:vMerge/>
            <w:tcBorders>
              <w:top w:val="nil"/>
              <w:left w:val="double" w:sz="6" w:space="0" w:color="44546A"/>
              <w:bottom w:val="double" w:sz="6" w:space="0" w:color="44546A"/>
              <w:right w:val="double" w:sz="6" w:space="0" w:color="44546A"/>
            </w:tcBorders>
            <w:vAlign w:val="center"/>
            <w:hideMark/>
          </w:tcPr>
          <w:p w14:paraId="5965E877" w14:textId="77777777" w:rsidR="00BD43BD" w:rsidRDefault="00BD43BD" w:rsidP="00BD43BD">
            <w:pPr>
              <w:rPr>
                <w:rFonts w:ascii="Book Antiqua" w:hAnsi="Book Antiqua" w:cs="Calibri"/>
                <w:sz w:val="24"/>
                <w:szCs w:val="24"/>
              </w:rPr>
            </w:pPr>
          </w:p>
        </w:tc>
        <w:tc>
          <w:tcPr>
            <w:tcW w:w="1020" w:type="dxa"/>
            <w:tcBorders>
              <w:top w:val="nil"/>
              <w:left w:val="nil"/>
              <w:bottom w:val="double" w:sz="6" w:space="0" w:color="44546A"/>
              <w:right w:val="double" w:sz="6" w:space="0" w:color="44546A"/>
            </w:tcBorders>
            <w:shd w:val="clear" w:color="000000" w:fill="D9E1F2"/>
            <w:vAlign w:val="center"/>
            <w:hideMark/>
          </w:tcPr>
          <w:p w14:paraId="35940622" w14:textId="77777777" w:rsidR="00BD43BD" w:rsidRDefault="00BD43BD" w:rsidP="00535C15">
            <w:pPr>
              <w:jc w:val="center"/>
              <w:rPr>
                <w:rFonts w:ascii="Book Antiqua" w:hAnsi="Book Antiqua" w:cs="Calibri"/>
                <w:b/>
                <w:bCs/>
                <w:i/>
                <w:iCs/>
                <w:color w:val="000000"/>
              </w:rPr>
            </w:pPr>
            <w:r>
              <w:rPr>
                <w:rFonts w:ascii="Book Antiqua" w:hAnsi="Book Antiqua" w:cs="Calibri"/>
                <w:b/>
                <w:bCs/>
                <w:i/>
                <w:iCs/>
                <w:color w:val="000000"/>
              </w:rPr>
              <w:t>Trabajo</w:t>
            </w:r>
          </w:p>
        </w:tc>
        <w:tc>
          <w:tcPr>
            <w:tcW w:w="856" w:type="dxa"/>
            <w:tcBorders>
              <w:top w:val="nil"/>
              <w:left w:val="nil"/>
              <w:bottom w:val="double" w:sz="6" w:space="0" w:color="44546A"/>
              <w:right w:val="double" w:sz="6" w:space="0" w:color="44546A"/>
            </w:tcBorders>
            <w:shd w:val="clear" w:color="000000" w:fill="D9E1F2"/>
            <w:vAlign w:val="center"/>
            <w:hideMark/>
          </w:tcPr>
          <w:p w14:paraId="0ABC0538" w14:textId="77777777" w:rsidR="00BD43BD" w:rsidRDefault="00BD43BD" w:rsidP="00BD43BD">
            <w:pPr>
              <w:jc w:val="center"/>
              <w:rPr>
                <w:rFonts w:ascii="Book Antiqua" w:hAnsi="Book Antiqua" w:cs="Calibri"/>
                <w:b/>
                <w:bCs/>
                <w:i/>
                <w:iCs/>
                <w:color w:val="000000"/>
              </w:rPr>
            </w:pPr>
            <w:r>
              <w:rPr>
                <w:rFonts w:ascii="Book Antiqua" w:hAnsi="Book Antiqua" w:cs="Calibri"/>
                <w:b/>
                <w:bCs/>
                <w:i/>
                <w:iCs/>
                <w:color w:val="000000"/>
              </w:rPr>
              <w:t>8</w:t>
            </w:r>
          </w:p>
        </w:tc>
      </w:tr>
      <w:tr w:rsidR="00BD43BD" w14:paraId="77A9A80C" w14:textId="77777777" w:rsidTr="00535C15">
        <w:trPr>
          <w:gridAfter w:val="1"/>
          <w:wAfter w:w="1051" w:type="dxa"/>
          <w:trHeight w:val="350"/>
        </w:trPr>
        <w:tc>
          <w:tcPr>
            <w:tcW w:w="0" w:type="auto"/>
            <w:gridSpan w:val="2"/>
            <w:vMerge w:val="restart"/>
            <w:tcBorders>
              <w:top w:val="nil"/>
              <w:left w:val="double" w:sz="6" w:space="0" w:color="44546A"/>
              <w:bottom w:val="double" w:sz="6" w:space="0" w:color="44546A"/>
              <w:right w:val="double" w:sz="6" w:space="0" w:color="44546A"/>
            </w:tcBorders>
            <w:shd w:val="clear" w:color="auto" w:fill="auto"/>
            <w:noWrap/>
            <w:vAlign w:val="center"/>
            <w:hideMark/>
          </w:tcPr>
          <w:p w14:paraId="0DD817B6" w14:textId="77777777" w:rsidR="00BD43BD" w:rsidRDefault="00BD43BD" w:rsidP="00BD43BD">
            <w:pPr>
              <w:rPr>
                <w:rFonts w:ascii="Book Antiqua" w:hAnsi="Book Antiqua" w:cs="Calibri"/>
                <w:sz w:val="24"/>
                <w:szCs w:val="24"/>
              </w:rPr>
            </w:pPr>
            <w:r>
              <w:rPr>
                <w:rFonts w:ascii="Book Antiqua" w:hAnsi="Book Antiqua" w:cs="Calibri"/>
              </w:rPr>
              <w:t xml:space="preserve">Tribunal de Puntarenas  </w:t>
            </w:r>
          </w:p>
        </w:tc>
        <w:tc>
          <w:tcPr>
            <w:tcW w:w="1020" w:type="dxa"/>
            <w:tcBorders>
              <w:top w:val="nil"/>
              <w:left w:val="nil"/>
              <w:bottom w:val="double" w:sz="6" w:space="0" w:color="44546A"/>
              <w:right w:val="double" w:sz="6" w:space="0" w:color="44546A"/>
            </w:tcBorders>
            <w:shd w:val="clear" w:color="auto" w:fill="auto"/>
            <w:vAlign w:val="center"/>
            <w:hideMark/>
          </w:tcPr>
          <w:p w14:paraId="36125B90" w14:textId="77777777" w:rsidR="00BD43BD" w:rsidRDefault="00BD43BD" w:rsidP="00535C15">
            <w:pPr>
              <w:jc w:val="center"/>
              <w:rPr>
                <w:rFonts w:ascii="Book Antiqua" w:hAnsi="Book Antiqua" w:cs="Calibri"/>
                <w:b/>
                <w:bCs/>
                <w:i/>
                <w:iCs/>
                <w:color w:val="000000"/>
              </w:rPr>
            </w:pPr>
            <w:r>
              <w:rPr>
                <w:rFonts w:ascii="Book Antiqua" w:hAnsi="Book Antiqua" w:cs="Calibri"/>
                <w:b/>
                <w:bCs/>
                <w:i/>
                <w:iCs/>
                <w:color w:val="000000"/>
              </w:rPr>
              <w:t>Civil</w:t>
            </w:r>
          </w:p>
        </w:tc>
        <w:tc>
          <w:tcPr>
            <w:tcW w:w="856" w:type="dxa"/>
            <w:tcBorders>
              <w:top w:val="nil"/>
              <w:left w:val="nil"/>
              <w:bottom w:val="double" w:sz="6" w:space="0" w:color="44546A"/>
              <w:right w:val="double" w:sz="6" w:space="0" w:color="44546A"/>
            </w:tcBorders>
            <w:shd w:val="clear" w:color="auto" w:fill="auto"/>
            <w:vAlign w:val="center"/>
            <w:hideMark/>
          </w:tcPr>
          <w:p w14:paraId="794F70DC" w14:textId="77777777" w:rsidR="00BD43BD" w:rsidRDefault="00BD43BD" w:rsidP="00BD43BD">
            <w:pPr>
              <w:jc w:val="center"/>
              <w:rPr>
                <w:rFonts w:ascii="Book Antiqua" w:hAnsi="Book Antiqua" w:cs="Calibri"/>
                <w:b/>
                <w:bCs/>
                <w:i/>
                <w:iCs/>
                <w:color w:val="000000"/>
              </w:rPr>
            </w:pPr>
            <w:r>
              <w:rPr>
                <w:rFonts w:ascii="Book Antiqua" w:hAnsi="Book Antiqua" w:cs="Calibri"/>
                <w:b/>
                <w:bCs/>
                <w:i/>
                <w:iCs/>
                <w:color w:val="000000"/>
              </w:rPr>
              <w:t>9</w:t>
            </w:r>
          </w:p>
        </w:tc>
      </w:tr>
      <w:tr w:rsidR="00BD43BD" w14:paraId="16B9A3C1" w14:textId="77777777" w:rsidTr="00535C15">
        <w:trPr>
          <w:gridAfter w:val="1"/>
          <w:wAfter w:w="1051" w:type="dxa"/>
          <w:trHeight w:val="350"/>
        </w:trPr>
        <w:tc>
          <w:tcPr>
            <w:tcW w:w="0" w:type="auto"/>
            <w:gridSpan w:val="2"/>
            <w:vMerge/>
            <w:tcBorders>
              <w:top w:val="nil"/>
              <w:left w:val="double" w:sz="6" w:space="0" w:color="44546A"/>
              <w:bottom w:val="double" w:sz="6" w:space="0" w:color="44546A"/>
              <w:right w:val="double" w:sz="6" w:space="0" w:color="44546A"/>
            </w:tcBorders>
            <w:vAlign w:val="center"/>
            <w:hideMark/>
          </w:tcPr>
          <w:p w14:paraId="42A0C594" w14:textId="77777777" w:rsidR="00BD43BD" w:rsidRDefault="00BD43BD" w:rsidP="00BD43BD">
            <w:pPr>
              <w:rPr>
                <w:rFonts w:ascii="Book Antiqua" w:hAnsi="Book Antiqua" w:cs="Calibri"/>
                <w:sz w:val="24"/>
                <w:szCs w:val="24"/>
              </w:rPr>
            </w:pPr>
          </w:p>
        </w:tc>
        <w:tc>
          <w:tcPr>
            <w:tcW w:w="1020" w:type="dxa"/>
            <w:tcBorders>
              <w:top w:val="nil"/>
              <w:left w:val="nil"/>
              <w:bottom w:val="double" w:sz="6" w:space="0" w:color="44546A"/>
              <w:right w:val="double" w:sz="6" w:space="0" w:color="44546A"/>
            </w:tcBorders>
            <w:shd w:val="clear" w:color="auto" w:fill="auto"/>
            <w:vAlign w:val="center"/>
            <w:hideMark/>
          </w:tcPr>
          <w:p w14:paraId="2CC883ED" w14:textId="77777777" w:rsidR="00BD43BD" w:rsidRDefault="00BD43BD" w:rsidP="00535C15">
            <w:pPr>
              <w:jc w:val="center"/>
              <w:rPr>
                <w:rFonts w:ascii="Book Antiqua" w:hAnsi="Book Antiqua" w:cs="Calibri"/>
                <w:b/>
                <w:bCs/>
                <w:i/>
                <w:iCs/>
                <w:color w:val="000000"/>
              </w:rPr>
            </w:pPr>
            <w:r>
              <w:rPr>
                <w:rFonts w:ascii="Book Antiqua" w:hAnsi="Book Antiqua" w:cs="Calibri"/>
                <w:b/>
                <w:bCs/>
                <w:i/>
                <w:iCs/>
                <w:color w:val="000000"/>
              </w:rPr>
              <w:t>Trabajo</w:t>
            </w:r>
          </w:p>
        </w:tc>
        <w:tc>
          <w:tcPr>
            <w:tcW w:w="856" w:type="dxa"/>
            <w:tcBorders>
              <w:top w:val="nil"/>
              <w:left w:val="nil"/>
              <w:bottom w:val="double" w:sz="6" w:space="0" w:color="44546A"/>
              <w:right w:val="double" w:sz="6" w:space="0" w:color="44546A"/>
            </w:tcBorders>
            <w:shd w:val="clear" w:color="auto" w:fill="auto"/>
            <w:vAlign w:val="center"/>
            <w:hideMark/>
          </w:tcPr>
          <w:p w14:paraId="2379E7AD" w14:textId="77777777" w:rsidR="00BD43BD" w:rsidRDefault="00BD43BD" w:rsidP="00BD43BD">
            <w:pPr>
              <w:jc w:val="center"/>
              <w:rPr>
                <w:rFonts w:ascii="Book Antiqua" w:hAnsi="Book Antiqua" w:cs="Calibri"/>
                <w:b/>
                <w:bCs/>
                <w:i/>
                <w:iCs/>
                <w:color w:val="000000"/>
              </w:rPr>
            </w:pPr>
            <w:r>
              <w:rPr>
                <w:rFonts w:ascii="Book Antiqua" w:hAnsi="Book Antiqua" w:cs="Calibri"/>
                <w:b/>
                <w:bCs/>
                <w:i/>
                <w:iCs/>
                <w:color w:val="000000"/>
              </w:rPr>
              <w:t>8</w:t>
            </w:r>
          </w:p>
        </w:tc>
      </w:tr>
      <w:tr w:rsidR="00BD43BD" w14:paraId="219294A0" w14:textId="77777777" w:rsidTr="00535C15">
        <w:trPr>
          <w:gridAfter w:val="1"/>
          <w:wAfter w:w="1051" w:type="dxa"/>
          <w:trHeight w:val="440"/>
        </w:trPr>
        <w:tc>
          <w:tcPr>
            <w:tcW w:w="0" w:type="auto"/>
            <w:gridSpan w:val="2"/>
            <w:vMerge w:val="restart"/>
            <w:tcBorders>
              <w:top w:val="nil"/>
              <w:left w:val="double" w:sz="6" w:space="0" w:color="44546A"/>
              <w:bottom w:val="double" w:sz="6" w:space="0" w:color="44546A"/>
              <w:right w:val="double" w:sz="6" w:space="0" w:color="44546A"/>
            </w:tcBorders>
            <w:shd w:val="clear" w:color="000000" w:fill="D9E1F2"/>
            <w:noWrap/>
            <w:vAlign w:val="center"/>
            <w:hideMark/>
          </w:tcPr>
          <w:p w14:paraId="6ACBD6A9" w14:textId="77777777" w:rsidR="00BD43BD" w:rsidRDefault="00BD43BD" w:rsidP="00BD43BD">
            <w:pPr>
              <w:rPr>
                <w:rFonts w:ascii="Book Antiqua" w:hAnsi="Book Antiqua" w:cs="Calibri"/>
                <w:sz w:val="24"/>
                <w:szCs w:val="24"/>
              </w:rPr>
            </w:pPr>
            <w:r>
              <w:rPr>
                <w:rFonts w:ascii="Book Antiqua" w:hAnsi="Book Antiqua" w:cs="Calibri"/>
              </w:rPr>
              <w:t xml:space="preserve">Tribunal Primer Circuito Judicial de la Zona Atlántica </w:t>
            </w:r>
          </w:p>
        </w:tc>
        <w:tc>
          <w:tcPr>
            <w:tcW w:w="1020" w:type="dxa"/>
            <w:tcBorders>
              <w:top w:val="nil"/>
              <w:left w:val="nil"/>
              <w:bottom w:val="double" w:sz="6" w:space="0" w:color="44546A"/>
              <w:right w:val="double" w:sz="6" w:space="0" w:color="44546A"/>
            </w:tcBorders>
            <w:shd w:val="clear" w:color="000000" w:fill="D9E1F2"/>
            <w:vAlign w:val="center"/>
            <w:hideMark/>
          </w:tcPr>
          <w:p w14:paraId="28F71066" w14:textId="77777777" w:rsidR="00BD43BD" w:rsidRDefault="00BD43BD" w:rsidP="00535C15">
            <w:pPr>
              <w:jc w:val="center"/>
              <w:rPr>
                <w:rFonts w:ascii="Book Antiqua" w:hAnsi="Book Antiqua" w:cs="Calibri"/>
                <w:b/>
                <w:bCs/>
                <w:i/>
                <w:iCs/>
                <w:color w:val="000000"/>
              </w:rPr>
            </w:pPr>
            <w:r>
              <w:rPr>
                <w:rFonts w:ascii="Book Antiqua" w:hAnsi="Book Antiqua" w:cs="Calibri"/>
                <w:b/>
                <w:bCs/>
                <w:i/>
                <w:iCs/>
                <w:color w:val="000000"/>
              </w:rPr>
              <w:t>Civil</w:t>
            </w:r>
          </w:p>
        </w:tc>
        <w:tc>
          <w:tcPr>
            <w:tcW w:w="856" w:type="dxa"/>
            <w:tcBorders>
              <w:top w:val="nil"/>
              <w:left w:val="nil"/>
              <w:bottom w:val="double" w:sz="6" w:space="0" w:color="44546A"/>
              <w:right w:val="double" w:sz="6" w:space="0" w:color="44546A"/>
            </w:tcBorders>
            <w:shd w:val="clear" w:color="000000" w:fill="D9E1F2"/>
            <w:vAlign w:val="center"/>
            <w:hideMark/>
          </w:tcPr>
          <w:p w14:paraId="293CEE66" w14:textId="77777777" w:rsidR="00BD43BD" w:rsidRDefault="00BD43BD" w:rsidP="00BD43BD">
            <w:pPr>
              <w:jc w:val="center"/>
              <w:rPr>
                <w:rFonts w:ascii="Book Antiqua" w:hAnsi="Book Antiqua" w:cs="Calibri"/>
                <w:b/>
                <w:bCs/>
                <w:i/>
                <w:iCs/>
                <w:color w:val="000000"/>
              </w:rPr>
            </w:pPr>
            <w:r>
              <w:rPr>
                <w:rFonts w:ascii="Book Antiqua" w:hAnsi="Book Antiqua" w:cs="Calibri"/>
                <w:b/>
                <w:bCs/>
                <w:i/>
                <w:iCs/>
                <w:color w:val="000000"/>
              </w:rPr>
              <w:t>8</w:t>
            </w:r>
          </w:p>
        </w:tc>
      </w:tr>
      <w:tr w:rsidR="00BD43BD" w14:paraId="11D750B3" w14:textId="77777777" w:rsidTr="00535C15">
        <w:trPr>
          <w:gridAfter w:val="1"/>
          <w:wAfter w:w="1051" w:type="dxa"/>
          <w:trHeight w:val="440"/>
        </w:trPr>
        <w:tc>
          <w:tcPr>
            <w:tcW w:w="0" w:type="auto"/>
            <w:gridSpan w:val="2"/>
            <w:vMerge/>
            <w:tcBorders>
              <w:top w:val="nil"/>
              <w:left w:val="double" w:sz="6" w:space="0" w:color="44546A"/>
              <w:bottom w:val="double" w:sz="6" w:space="0" w:color="44546A"/>
              <w:right w:val="double" w:sz="6" w:space="0" w:color="44546A"/>
            </w:tcBorders>
            <w:vAlign w:val="center"/>
            <w:hideMark/>
          </w:tcPr>
          <w:p w14:paraId="0F5C823D" w14:textId="77777777" w:rsidR="00BD43BD" w:rsidRDefault="00BD43BD" w:rsidP="00BD43BD">
            <w:pPr>
              <w:rPr>
                <w:rFonts w:ascii="Book Antiqua" w:hAnsi="Book Antiqua" w:cs="Calibri"/>
                <w:sz w:val="24"/>
                <w:szCs w:val="24"/>
              </w:rPr>
            </w:pPr>
          </w:p>
        </w:tc>
        <w:tc>
          <w:tcPr>
            <w:tcW w:w="1020" w:type="dxa"/>
            <w:tcBorders>
              <w:top w:val="nil"/>
              <w:left w:val="nil"/>
              <w:bottom w:val="double" w:sz="6" w:space="0" w:color="44546A"/>
              <w:right w:val="double" w:sz="6" w:space="0" w:color="44546A"/>
            </w:tcBorders>
            <w:shd w:val="clear" w:color="000000" w:fill="D9E1F2"/>
            <w:vAlign w:val="center"/>
            <w:hideMark/>
          </w:tcPr>
          <w:p w14:paraId="6AFD15E8" w14:textId="77777777" w:rsidR="00BD43BD" w:rsidRDefault="00BD43BD" w:rsidP="00535C15">
            <w:pPr>
              <w:jc w:val="center"/>
              <w:rPr>
                <w:rFonts w:ascii="Book Antiqua" w:hAnsi="Book Antiqua" w:cs="Calibri"/>
                <w:b/>
                <w:bCs/>
                <w:i/>
                <w:iCs/>
                <w:color w:val="000000"/>
              </w:rPr>
            </w:pPr>
            <w:r>
              <w:rPr>
                <w:rFonts w:ascii="Book Antiqua" w:hAnsi="Book Antiqua" w:cs="Calibri"/>
                <w:b/>
                <w:bCs/>
                <w:i/>
                <w:iCs/>
                <w:color w:val="000000"/>
              </w:rPr>
              <w:t>Trabajo</w:t>
            </w:r>
          </w:p>
        </w:tc>
        <w:tc>
          <w:tcPr>
            <w:tcW w:w="856" w:type="dxa"/>
            <w:tcBorders>
              <w:top w:val="nil"/>
              <w:left w:val="nil"/>
              <w:bottom w:val="double" w:sz="6" w:space="0" w:color="44546A"/>
              <w:right w:val="double" w:sz="6" w:space="0" w:color="44546A"/>
            </w:tcBorders>
            <w:shd w:val="clear" w:color="000000" w:fill="D9E1F2"/>
            <w:vAlign w:val="center"/>
            <w:hideMark/>
          </w:tcPr>
          <w:p w14:paraId="0A3E4485" w14:textId="77777777" w:rsidR="00BD43BD" w:rsidRDefault="00BD43BD" w:rsidP="00BD43BD">
            <w:pPr>
              <w:jc w:val="center"/>
              <w:rPr>
                <w:rFonts w:ascii="Book Antiqua" w:hAnsi="Book Antiqua" w:cs="Calibri"/>
                <w:b/>
                <w:bCs/>
                <w:i/>
                <w:iCs/>
                <w:color w:val="000000"/>
              </w:rPr>
            </w:pPr>
            <w:r>
              <w:rPr>
                <w:rFonts w:ascii="Book Antiqua" w:hAnsi="Book Antiqua" w:cs="Calibri"/>
                <w:b/>
                <w:bCs/>
                <w:i/>
                <w:iCs/>
                <w:color w:val="000000"/>
              </w:rPr>
              <w:t>9</w:t>
            </w:r>
          </w:p>
        </w:tc>
      </w:tr>
      <w:tr w:rsidR="00BD43BD" w:rsidRPr="00BD43BD" w14:paraId="79DB8E70" w14:textId="77777777" w:rsidTr="00535C15">
        <w:tblPrEx>
          <w:tblCellMar>
            <w:left w:w="70" w:type="dxa"/>
            <w:right w:w="70" w:type="dxa"/>
          </w:tblCellMar>
        </w:tblPrEx>
        <w:trPr>
          <w:gridBefore w:val="1"/>
          <w:wBefore w:w="6" w:type="dxa"/>
          <w:trHeight w:val="20"/>
        </w:trPr>
        <w:tc>
          <w:tcPr>
            <w:tcW w:w="6634" w:type="dxa"/>
            <w:gridSpan w:val="2"/>
            <w:tcBorders>
              <w:top w:val="double" w:sz="6" w:space="0" w:color="44546A"/>
              <w:left w:val="double" w:sz="6" w:space="0" w:color="44546A"/>
              <w:bottom w:val="double" w:sz="6" w:space="0" w:color="44546A"/>
              <w:right w:val="double" w:sz="6" w:space="0" w:color="44546A"/>
            </w:tcBorders>
            <w:shd w:val="clear" w:color="000000" w:fill="1F4E78"/>
            <w:vAlign w:val="center"/>
            <w:hideMark/>
          </w:tcPr>
          <w:p w14:paraId="2AD09B92" w14:textId="4BB61305" w:rsidR="00BD43BD" w:rsidRPr="00EB031E" w:rsidRDefault="00BD43BD" w:rsidP="00BD43BD">
            <w:pPr>
              <w:spacing w:after="0" w:line="240" w:lineRule="auto"/>
              <w:jc w:val="center"/>
              <w:rPr>
                <w:rFonts w:ascii="Book Antiqua" w:eastAsia="Times New Roman" w:hAnsi="Book Antiqua" w:cs="Calibri"/>
                <w:b/>
                <w:bCs/>
                <w:color w:val="FFFFFF"/>
                <w:sz w:val="20"/>
                <w:szCs w:val="20"/>
                <w:lang w:eastAsia="es-CR"/>
              </w:rPr>
            </w:pPr>
            <w:r w:rsidRPr="000F7174" w:rsidDel="00BD43BD">
              <w:rPr>
                <w:rFonts w:ascii="Book Antiqua" w:eastAsia="Times New Roman" w:hAnsi="Book Antiqua" w:cs="Times New Roman"/>
                <w:b/>
                <w:bCs/>
                <w:color w:val="FFFFFF"/>
                <w:lang w:eastAsia="es-CR"/>
              </w:rPr>
              <w:t xml:space="preserve"> </w:t>
            </w:r>
            <w:r w:rsidRPr="00EB031E">
              <w:rPr>
                <w:rFonts w:ascii="Book Antiqua" w:eastAsia="Times New Roman" w:hAnsi="Book Antiqua" w:cs="Calibri"/>
                <w:b/>
                <w:bCs/>
                <w:color w:val="FFFFFF"/>
                <w:sz w:val="20"/>
                <w:szCs w:val="20"/>
                <w:lang w:eastAsia="es-CR"/>
              </w:rPr>
              <w:t>Despacho</w:t>
            </w:r>
          </w:p>
        </w:tc>
        <w:tc>
          <w:tcPr>
            <w:tcW w:w="856" w:type="dxa"/>
            <w:tcBorders>
              <w:top w:val="double" w:sz="6" w:space="0" w:color="44546A"/>
              <w:left w:val="nil"/>
              <w:bottom w:val="double" w:sz="6" w:space="0" w:color="44546A"/>
              <w:right w:val="double" w:sz="6" w:space="0" w:color="44546A"/>
            </w:tcBorders>
            <w:shd w:val="clear" w:color="000000" w:fill="1F4E78"/>
            <w:vAlign w:val="center"/>
            <w:hideMark/>
          </w:tcPr>
          <w:p w14:paraId="1FED0AA1" w14:textId="77777777" w:rsidR="00BD43BD" w:rsidRPr="00EB031E" w:rsidRDefault="00BD43BD" w:rsidP="00BD43BD">
            <w:pPr>
              <w:spacing w:after="0" w:line="240" w:lineRule="auto"/>
              <w:jc w:val="center"/>
              <w:rPr>
                <w:rFonts w:ascii="Book Antiqua" w:eastAsia="Times New Roman" w:hAnsi="Book Antiqua" w:cs="Calibri"/>
                <w:b/>
                <w:bCs/>
                <w:color w:val="FFFFFF"/>
                <w:sz w:val="20"/>
                <w:szCs w:val="20"/>
                <w:lang w:eastAsia="es-CR"/>
              </w:rPr>
            </w:pPr>
            <w:r w:rsidRPr="00EB031E">
              <w:rPr>
                <w:rFonts w:ascii="Book Antiqua" w:eastAsia="Times New Roman" w:hAnsi="Book Antiqua" w:cs="Calibri"/>
                <w:b/>
                <w:bCs/>
                <w:color w:val="FFFFFF"/>
                <w:sz w:val="20"/>
                <w:szCs w:val="20"/>
                <w:lang w:eastAsia="es-CR"/>
              </w:rPr>
              <w:t>Materia</w:t>
            </w:r>
          </w:p>
        </w:tc>
        <w:tc>
          <w:tcPr>
            <w:tcW w:w="1051" w:type="dxa"/>
            <w:tcBorders>
              <w:top w:val="double" w:sz="6" w:space="0" w:color="44546A"/>
              <w:left w:val="nil"/>
              <w:bottom w:val="double" w:sz="6" w:space="0" w:color="44546A"/>
              <w:right w:val="double" w:sz="6" w:space="0" w:color="44546A"/>
            </w:tcBorders>
            <w:shd w:val="clear" w:color="000000" w:fill="1F4E78"/>
            <w:vAlign w:val="center"/>
            <w:hideMark/>
          </w:tcPr>
          <w:p w14:paraId="63BD8D1D" w14:textId="77777777" w:rsidR="00BD43BD" w:rsidRPr="00EB031E" w:rsidRDefault="00BD43BD" w:rsidP="00BD43BD">
            <w:pPr>
              <w:spacing w:after="0" w:line="240" w:lineRule="auto"/>
              <w:jc w:val="center"/>
              <w:rPr>
                <w:rFonts w:ascii="Book Antiqua" w:eastAsia="Times New Roman" w:hAnsi="Book Antiqua" w:cs="Calibri"/>
                <w:b/>
                <w:bCs/>
                <w:color w:val="FFFFFF"/>
                <w:sz w:val="20"/>
                <w:szCs w:val="20"/>
                <w:lang w:eastAsia="es-CR"/>
              </w:rPr>
            </w:pPr>
            <w:r w:rsidRPr="00EB031E">
              <w:rPr>
                <w:rFonts w:ascii="Book Antiqua" w:eastAsia="Times New Roman" w:hAnsi="Book Antiqua" w:cs="Calibri"/>
                <w:b/>
                <w:bCs/>
                <w:color w:val="FFFFFF"/>
                <w:sz w:val="20"/>
                <w:szCs w:val="20"/>
                <w:lang w:eastAsia="es-CR"/>
              </w:rPr>
              <w:t xml:space="preserve">Propuesta Cuota de trabajo por materia  </w:t>
            </w:r>
          </w:p>
        </w:tc>
      </w:tr>
      <w:tr w:rsidR="00BD43BD" w:rsidRPr="00BD43BD" w14:paraId="7B440469" w14:textId="77777777" w:rsidTr="00535C15">
        <w:tblPrEx>
          <w:tblCellMar>
            <w:left w:w="70" w:type="dxa"/>
            <w:right w:w="70" w:type="dxa"/>
          </w:tblCellMar>
        </w:tblPrEx>
        <w:trPr>
          <w:gridBefore w:val="1"/>
          <w:wBefore w:w="6" w:type="dxa"/>
          <w:trHeight w:val="20"/>
        </w:trPr>
        <w:tc>
          <w:tcPr>
            <w:tcW w:w="6634" w:type="dxa"/>
            <w:gridSpan w:val="2"/>
            <w:vMerge w:val="restart"/>
            <w:tcBorders>
              <w:top w:val="nil"/>
              <w:left w:val="double" w:sz="6" w:space="0" w:color="44546A"/>
              <w:bottom w:val="double" w:sz="6" w:space="0" w:color="44546A"/>
              <w:right w:val="double" w:sz="6" w:space="0" w:color="44546A"/>
            </w:tcBorders>
            <w:shd w:val="clear" w:color="000000" w:fill="D9E1F2"/>
            <w:noWrap/>
            <w:vAlign w:val="center"/>
            <w:hideMark/>
          </w:tcPr>
          <w:p w14:paraId="76F45705" w14:textId="77777777" w:rsidR="00BD43BD" w:rsidRPr="00EB031E" w:rsidRDefault="00BD43BD" w:rsidP="00BD43BD">
            <w:pPr>
              <w:spacing w:after="0" w:line="240" w:lineRule="auto"/>
              <w:rPr>
                <w:rFonts w:ascii="Book Antiqua" w:eastAsia="Times New Roman" w:hAnsi="Book Antiqua" w:cs="Calibri"/>
                <w:sz w:val="20"/>
                <w:szCs w:val="20"/>
                <w:lang w:eastAsia="es-CR"/>
              </w:rPr>
            </w:pPr>
            <w:r w:rsidRPr="00EB031E">
              <w:rPr>
                <w:rFonts w:ascii="Book Antiqua" w:eastAsia="Times New Roman" w:hAnsi="Book Antiqua" w:cs="Calibri"/>
                <w:sz w:val="20"/>
                <w:szCs w:val="20"/>
                <w:lang w:eastAsia="es-CR"/>
              </w:rPr>
              <w:t xml:space="preserve">Tribunal Primer Circuito Judicial Zona Sur </w:t>
            </w:r>
          </w:p>
        </w:tc>
        <w:tc>
          <w:tcPr>
            <w:tcW w:w="856" w:type="dxa"/>
            <w:tcBorders>
              <w:top w:val="nil"/>
              <w:left w:val="nil"/>
              <w:bottom w:val="double" w:sz="6" w:space="0" w:color="44546A"/>
              <w:right w:val="double" w:sz="6" w:space="0" w:color="44546A"/>
            </w:tcBorders>
            <w:shd w:val="clear" w:color="000000" w:fill="D9E1F2"/>
            <w:vAlign w:val="center"/>
            <w:hideMark/>
          </w:tcPr>
          <w:p w14:paraId="16BB503B" w14:textId="77777777" w:rsidR="00BD43BD" w:rsidRPr="00EB031E" w:rsidRDefault="00BD43BD" w:rsidP="00535C15">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Civil</w:t>
            </w:r>
          </w:p>
        </w:tc>
        <w:tc>
          <w:tcPr>
            <w:tcW w:w="1051" w:type="dxa"/>
            <w:tcBorders>
              <w:top w:val="nil"/>
              <w:left w:val="nil"/>
              <w:bottom w:val="double" w:sz="6" w:space="0" w:color="44546A"/>
              <w:right w:val="double" w:sz="6" w:space="0" w:color="44546A"/>
            </w:tcBorders>
            <w:shd w:val="clear" w:color="000000" w:fill="D9E1F2"/>
            <w:vAlign w:val="center"/>
            <w:hideMark/>
          </w:tcPr>
          <w:p w14:paraId="2B01B330" w14:textId="77777777" w:rsidR="00BD43BD" w:rsidRPr="00EB031E" w:rsidRDefault="00BD43BD" w:rsidP="00BD43BD">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11</w:t>
            </w:r>
          </w:p>
        </w:tc>
      </w:tr>
      <w:tr w:rsidR="00BD43BD" w:rsidRPr="00BD43BD" w14:paraId="5EAF7229" w14:textId="77777777" w:rsidTr="00535C15">
        <w:tblPrEx>
          <w:tblCellMar>
            <w:left w:w="70" w:type="dxa"/>
            <w:right w:w="70" w:type="dxa"/>
          </w:tblCellMar>
        </w:tblPrEx>
        <w:trPr>
          <w:gridBefore w:val="1"/>
          <w:wBefore w:w="6" w:type="dxa"/>
          <w:trHeight w:val="20"/>
        </w:trPr>
        <w:tc>
          <w:tcPr>
            <w:tcW w:w="6634" w:type="dxa"/>
            <w:gridSpan w:val="2"/>
            <w:vMerge/>
            <w:tcBorders>
              <w:top w:val="nil"/>
              <w:left w:val="double" w:sz="6" w:space="0" w:color="44546A"/>
              <w:bottom w:val="double" w:sz="6" w:space="0" w:color="44546A"/>
              <w:right w:val="double" w:sz="6" w:space="0" w:color="44546A"/>
            </w:tcBorders>
            <w:vAlign w:val="center"/>
            <w:hideMark/>
          </w:tcPr>
          <w:p w14:paraId="7B6A3763" w14:textId="77777777" w:rsidR="00BD43BD" w:rsidRPr="00EB031E" w:rsidRDefault="00BD43BD" w:rsidP="00BD43BD">
            <w:pPr>
              <w:spacing w:after="0" w:line="240" w:lineRule="auto"/>
              <w:rPr>
                <w:rFonts w:ascii="Book Antiqua" w:eastAsia="Times New Roman" w:hAnsi="Book Antiqua" w:cs="Calibri"/>
                <w:sz w:val="20"/>
                <w:szCs w:val="20"/>
                <w:lang w:eastAsia="es-CR"/>
              </w:rPr>
            </w:pPr>
          </w:p>
        </w:tc>
        <w:tc>
          <w:tcPr>
            <w:tcW w:w="856" w:type="dxa"/>
            <w:tcBorders>
              <w:top w:val="nil"/>
              <w:left w:val="nil"/>
              <w:bottom w:val="double" w:sz="6" w:space="0" w:color="44546A"/>
              <w:right w:val="double" w:sz="6" w:space="0" w:color="44546A"/>
            </w:tcBorders>
            <w:shd w:val="clear" w:color="000000" w:fill="D9E1F2"/>
            <w:vAlign w:val="center"/>
            <w:hideMark/>
          </w:tcPr>
          <w:p w14:paraId="34DBCBEC" w14:textId="77777777" w:rsidR="00BD43BD" w:rsidRPr="00EB031E" w:rsidRDefault="00BD43BD" w:rsidP="00535C15">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Trabajo</w:t>
            </w:r>
          </w:p>
        </w:tc>
        <w:tc>
          <w:tcPr>
            <w:tcW w:w="1051" w:type="dxa"/>
            <w:tcBorders>
              <w:top w:val="nil"/>
              <w:left w:val="nil"/>
              <w:bottom w:val="double" w:sz="6" w:space="0" w:color="44546A"/>
              <w:right w:val="double" w:sz="6" w:space="0" w:color="44546A"/>
            </w:tcBorders>
            <w:shd w:val="clear" w:color="000000" w:fill="D9E1F2"/>
            <w:vAlign w:val="center"/>
            <w:hideMark/>
          </w:tcPr>
          <w:p w14:paraId="6F2AF96B" w14:textId="77777777" w:rsidR="00BD43BD" w:rsidRPr="00EB031E" w:rsidRDefault="00BD43BD" w:rsidP="00BD43BD">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6</w:t>
            </w:r>
          </w:p>
        </w:tc>
      </w:tr>
      <w:tr w:rsidR="00BD43BD" w:rsidRPr="00BD43BD" w14:paraId="7F4E1D89" w14:textId="77777777" w:rsidTr="00535C15">
        <w:tblPrEx>
          <w:tblCellMar>
            <w:left w:w="70" w:type="dxa"/>
            <w:right w:w="70" w:type="dxa"/>
          </w:tblCellMar>
        </w:tblPrEx>
        <w:trPr>
          <w:gridBefore w:val="1"/>
          <w:wBefore w:w="6" w:type="dxa"/>
          <w:trHeight w:val="20"/>
        </w:trPr>
        <w:tc>
          <w:tcPr>
            <w:tcW w:w="6634" w:type="dxa"/>
            <w:gridSpan w:val="2"/>
            <w:vMerge w:val="restart"/>
            <w:tcBorders>
              <w:top w:val="nil"/>
              <w:left w:val="double" w:sz="6" w:space="0" w:color="44546A"/>
              <w:bottom w:val="double" w:sz="6" w:space="0" w:color="44546A"/>
              <w:right w:val="double" w:sz="6" w:space="0" w:color="44546A"/>
            </w:tcBorders>
            <w:shd w:val="clear" w:color="auto" w:fill="auto"/>
            <w:noWrap/>
            <w:vAlign w:val="center"/>
            <w:hideMark/>
          </w:tcPr>
          <w:p w14:paraId="0BBB6524" w14:textId="77777777" w:rsidR="00BD43BD" w:rsidRPr="00EB031E" w:rsidRDefault="00BD43BD" w:rsidP="00BD43BD">
            <w:pPr>
              <w:spacing w:after="0" w:line="240" w:lineRule="auto"/>
              <w:rPr>
                <w:rFonts w:ascii="Book Antiqua" w:eastAsia="Times New Roman" w:hAnsi="Book Antiqua" w:cs="Calibri"/>
                <w:sz w:val="20"/>
                <w:szCs w:val="20"/>
                <w:lang w:eastAsia="es-CR"/>
              </w:rPr>
            </w:pPr>
            <w:r w:rsidRPr="00EB031E">
              <w:rPr>
                <w:rFonts w:ascii="Book Antiqua" w:eastAsia="Times New Roman" w:hAnsi="Book Antiqua" w:cs="Calibri"/>
                <w:sz w:val="20"/>
                <w:szCs w:val="20"/>
                <w:lang w:eastAsia="es-CR"/>
              </w:rPr>
              <w:t xml:space="preserve">Tribunal de Primer Circuito Judicial de Alajuela </w:t>
            </w:r>
          </w:p>
        </w:tc>
        <w:tc>
          <w:tcPr>
            <w:tcW w:w="856" w:type="dxa"/>
            <w:tcBorders>
              <w:top w:val="nil"/>
              <w:left w:val="nil"/>
              <w:bottom w:val="double" w:sz="6" w:space="0" w:color="44546A"/>
              <w:right w:val="double" w:sz="6" w:space="0" w:color="44546A"/>
            </w:tcBorders>
            <w:shd w:val="clear" w:color="auto" w:fill="auto"/>
            <w:vAlign w:val="center"/>
            <w:hideMark/>
          </w:tcPr>
          <w:p w14:paraId="2F23CC2D" w14:textId="77777777" w:rsidR="00BD43BD" w:rsidRPr="00EB031E" w:rsidRDefault="00BD43BD" w:rsidP="00535C15">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Civil</w:t>
            </w:r>
          </w:p>
        </w:tc>
        <w:tc>
          <w:tcPr>
            <w:tcW w:w="1051" w:type="dxa"/>
            <w:tcBorders>
              <w:top w:val="nil"/>
              <w:left w:val="nil"/>
              <w:bottom w:val="double" w:sz="6" w:space="0" w:color="44546A"/>
              <w:right w:val="double" w:sz="6" w:space="0" w:color="44546A"/>
            </w:tcBorders>
            <w:shd w:val="clear" w:color="auto" w:fill="auto"/>
            <w:vAlign w:val="center"/>
            <w:hideMark/>
          </w:tcPr>
          <w:p w14:paraId="0B5CB9BC" w14:textId="77777777" w:rsidR="00BD43BD" w:rsidRPr="00EB031E" w:rsidRDefault="00BD43BD" w:rsidP="00BD43BD">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11</w:t>
            </w:r>
          </w:p>
        </w:tc>
      </w:tr>
      <w:tr w:rsidR="00BD43BD" w:rsidRPr="00BD43BD" w14:paraId="7AFAA647" w14:textId="77777777" w:rsidTr="00535C15">
        <w:tblPrEx>
          <w:tblCellMar>
            <w:left w:w="70" w:type="dxa"/>
            <w:right w:w="70" w:type="dxa"/>
          </w:tblCellMar>
        </w:tblPrEx>
        <w:trPr>
          <w:gridBefore w:val="1"/>
          <w:wBefore w:w="6" w:type="dxa"/>
          <w:trHeight w:val="20"/>
        </w:trPr>
        <w:tc>
          <w:tcPr>
            <w:tcW w:w="6634" w:type="dxa"/>
            <w:gridSpan w:val="2"/>
            <w:vMerge/>
            <w:tcBorders>
              <w:top w:val="nil"/>
              <w:left w:val="double" w:sz="6" w:space="0" w:color="44546A"/>
              <w:bottom w:val="double" w:sz="6" w:space="0" w:color="44546A"/>
              <w:right w:val="double" w:sz="6" w:space="0" w:color="44546A"/>
            </w:tcBorders>
            <w:vAlign w:val="center"/>
            <w:hideMark/>
          </w:tcPr>
          <w:p w14:paraId="72D01278" w14:textId="77777777" w:rsidR="00BD43BD" w:rsidRPr="00EB031E" w:rsidRDefault="00BD43BD" w:rsidP="00BD43BD">
            <w:pPr>
              <w:spacing w:after="0" w:line="240" w:lineRule="auto"/>
              <w:rPr>
                <w:rFonts w:ascii="Book Antiqua" w:eastAsia="Times New Roman" w:hAnsi="Book Antiqua" w:cs="Calibri"/>
                <w:sz w:val="20"/>
                <w:szCs w:val="20"/>
                <w:lang w:eastAsia="es-CR"/>
              </w:rPr>
            </w:pPr>
          </w:p>
        </w:tc>
        <w:tc>
          <w:tcPr>
            <w:tcW w:w="856" w:type="dxa"/>
            <w:tcBorders>
              <w:top w:val="nil"/>
              <w:left w:val="nil"/>
              <w:bottom w:val="double" w:sz="6" w:space="0" w:color="44546A"/>
              <w:right w:val="double" w:sz="6" w:space="0" w:color="44546A"/>
            </w:tcBorders>
            <w:shd w:val="clear" w:color="auto" w:fill="auto"/>
            <w:vAlign w:val="center"/>
            <w:hideMark/>
          </w:tcPr>
          <w:p w14:paraId="33616F9E" w14:textId="77777777" w:rsidR="00BD43BD" w:rsidRPr="00EB031E" w:rsidRDefault="00BD43BD" w:rsidP="00535C15">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Trabajo</w:t>
            </w:r>
          </w:p>
        </w:tc>
        <w:tc>
          <w:tcPr>
            <w:tcW w:w="1051" w:type="dxa"/>
            <w:tcBorders>
              <w:top w:val="nil"/>
              <w:left w:val="nil"/>
              <w:bottom w:val="double" w:sz="6" w:space="0" w:color="44546A"/>
              <w:right w:val="double" w:sz="6" w:space="0" w:color="44546A"/>
            </w:tcBorders>
            <w:shd w:val="clear" w:color="auto" w:fill="auto"/>
            <w:vAlign w:val="center"/>
            <w:hideMark/>
          </w:tcPr>
          <w:p w14:paraId="3C03DB23" w14:textId="77777777" w:rsidR="00BD43BD" w:rsidRPr="00EB031E" w:rsidRDefault="00BD43BD" w:rsidP="00BD43BD">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6</w:t>
            </w:r>
          </w:p>
        </w:tc>
      </w:tr>
      <w:tr w:rsidR="00BD43BD" w:rsidRPr="00BD43BD" w14:paraId="66BC381D" w14:textId="77777777" w:rsidTr="00535C15">
        <w:tblPrEx>
          <w:tblCellMar>
            <w:left w:w="70" w:type="dxa"/>
            <w:right w:w="70" w:type="dxa"/>
          </w:tblCellMar>
        </w:tblPrEx>
        <w:trPr>
          <w:gridBefore w:val="1"/>
          <w:wBefore w:w="6" w:type="dxa"/>
          <w:trHeight w:val="20"/>
        </w:trPr>
        <w:tc>
          <w:tcPr>
            <w:tcW w:w="6634" w:type="dxa"/>
            <w:gridSpan w:val="2"/>
            <w:vMerge w:val="restart"/>
            <w:tcBorders>
              <w:top w:val="nil"/>
              <w:left w:val="double" w:sz="6" w:space="0" w:color="44546A"/>
              <w:bottom w:val="double" w:sz="6" w:space="0" w:color="44546A"/>
              <w:right w:val="double" w:sz="6" w:space="0" w:color="44546A"/>
            </w:tcBorders>
            <w:shd w:val="clear" w:color="000000" w:fill="D9E1F2"/>
            <w:noWrap/>
            <w:vAlign w:val="center"/>
            <w:hideMark/>
          </w:tcPr>
          <w:p w14:paraId="7CC9E674" w14:textId="77777777" w:rsidR="00BD43BD" w:rsidRPr="00EB031E" w:rsidRDefault="00BD43BD" w:rsidP="00BD43BD">
            <w:pPr>
              <w:spacing w:after="0" w:line="240" w:lineRule="auto"/>
              <w:rPr>
                <w:rFonts w:ascii="Book Antiqua" w:eastAsia="Times New Roman" w:hAnsi="Book Antiqua" w:cs="Calibri"/>
                <w:sz w:val="20"/>
                <w:szCs w:val="20"/>
                <w:lang w:eastAsia="es-CR"/>
              </w:rPr>
            </w:pPr>
            <w:r w:rsidRPr="00EB031E">
              <w:rPr>
                <w:rFonts w:ascii="Book Antiqua" w:eastAsia="Times New Roman" w:hAnsi="Book Antiqua" w:cs="Calibri"/>
                <w:sz w:val="20"/>
                <w:szCs w:val="20"/>
                <w:lang w:eastAsia="es-CR"/>
              </w:rPr>
              <w:t>Tribunal de Cartago</w:t>
            </w:r>
          </w:p>
        </w:tc>
        <w:tc>
          <w:tcPr>
            <w:tcW w:w="856" w:type="dxa"/>
            <w:tcBorders>
              <w:top w:val="nil"/>
              <w:left w:val="nil"/>
              <w:bottom w:val="double" w:sz="6" w:space="0" w:color="44546A"/>
              <w:right w:val="double" w:sz="6" w:space="0" w:color="44546A"/>
            </w:tcBorders>
            <w:shd w:val="clear" w:color="000000" w:fill="D9E1F2"/>
            <w:vAlign w:val="center"/>
            <w:hideMark/>
          </w:tcPr>
          <w:p w14:paraId="689AE94C" w14:textId="77777777" w:rsidR="00BD43BD" w:rsidRPr="00EB031E" w:rsidRDefault="00BD43BD" w:rsidP="00535C15">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Civil</w:t>
            </w:r>
          </w:p>
        </w:tc>
        <w:tc>
          <w:tcPr>
            <w:tcW w:w="1051" w:type="dxa"/>
            <w:tcBorders>
              <w:top w:val="nil"/>
              <w:left w:val="nil"/>
              <w:bottom w:val="double" w:sz="6" w:space="0" w:color="44546A"/>
              <w:right w:val="double" w:sz="6" w:space="0" w:color="44546A"/>
            </w:tcBorders>
            <w:shd w:val="clear" w:color="000000" w:fill="D9E1F2"/>
            <w:vAlign w:val="center"/>
            <w:hideMark/>
          </w:tcPr>
          <w:p w14:paraId="19F4FDE0" w14:textId="77777777" w:rsidR="00BD43BD" w:rsidRPr="00EB031E" w:rsidRDefault="00BD43BD" w:rsidP="00BD43BD">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8</w:t>
            </w:r>
          </w:p>
        </w:tc>
      </w:tr>
      <w:tr w:rsidR="00BD43BD" w:rsidRPr="00BD43BD" w14:paraId="5ABBB53A" w14:textId="77777777" w:rsidTr="00535C15">
        <w:tblPrEx>
          <w:tblCellMar>
            <w:left w:w="70" w:type="dxa"/>
            <w:right w:w="70" w:type="dxa"/>
          </w:tblCellMar>
        </w:tblPrEx>
        <w:trPr>
          <w:gridBefore w:val="1"/>
          <w:wBefore w:w="6" w:type="dxa"/>
          <w:trHeight w:val="20"/>
        </w:trPr>
        <w:tc>
          <w:tcPr>
            <w:tcW w:w="6634" w:type="dxa"/>
            <w:gridSpan w:val="2"/>
            <w:vMerge/>
            <w:tcBorders>
              <w:top w:val="nil"/>
              <w:left w:val="double" w:sz="6" w:space="0" w:color="44546A"/>
              <w:bottom w:val="double" w:sz="6" w:space="0" w:color="44546A"/>
              <w:right w:val="double" w:sz="6" w:space="0" w:color="44546A"/>
            </w:tcBorders>
            <w:vAlign w:val="center"/>
            <w:hideMark/>
          </w:tcPr>
          <w:p w14:paraId="5DC1A426" w14:textId="77777777" w:rsidR="00BD43BD" w:rsidRPr="00EB031E" w:rsidRDefault="00BD43BD" w:rsidP="00BD43BD">
            <w:pPr>
              <w:spacing w:after="0" w:line="240" w:lineRule="auto"/>
              <w:rPr>
                <w:rFonts w:ascii="Book Antiqua" w:eastAsia="Times New Roman" w:hAnsi="Book Antiqua" w:cs="Calibri"/>
                <w:sz w:val="20"/>
                <w:szCs w:val="20"/>
                <w:lang w:eastAsia="es-CR"/>
              </w:rPr>
            </w:pPr>
          </w:p>
        </w:tc>
        <w:tc>
          <w:tcPr>
            <w:tcW w:w="856" w:type="dxa"/>
            <w:tcBorders>
              <w:top w:val="nil"/>
              <w:left w:val="nil"/>
              <w:bottom w:val="double" w:sz="6" w:space="0" w:color="44546A"/>
              <w:right w:val="double" w:sz="6" w:space="0" w:color="44546A"/>
            </w:tcBorders>
            <w:shd w:val="clear" w:color="000000" w:fill="D9E1F2"/>
            <w:vAlign w:val="center"/>
            <w:hideMark/>
          </w:tcPr>
          <w:p w14:paraId="68C32A0E" w14:textId="77777777" w:rsidR="00BD43BD" w:rsidRPr="00EB031E" w:rsidRDefault="00BD43BD" w:rsidP="00535C15">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Trabajo</w:t>
            </w:r>
          </w:p>
        </w:tc>
        <w:tc>
          <w:tcPr>
            <w:tcW w:w="1051" w:type="dxa"/>
            <w:tcBorders>
              <w:top w:val="nil"/>
              <w:left w:val="nil"/>
              <w:bottom w:val="double" w:sz="6" w:space="0" w:color="44546A"/>
              <w:right w:val="double" w:sz="6" w:space="0" w:color="44546A"/>
            </w:tcBorders>
            <w:shd w:val="clear" w:color="000000" w:fill="D9E1F2"/>
            <w:vAlign w:val="center"/>
            <w:hideMark/>
          </w:tcPr>
          <w:p w14:paraId="22315CA4" w14:textId="77777777" w:rsidR="00BD43BD" w:rsidRPr="00EB031E" w:rsidRDefault="00BD43BD" w:rsidP="00BD43BD">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9</w:t>
            </w:r>
          </w:p>
        </w:tc>
      </w:tr>
      <w:tr w:rsidR="00BD43BD" w:rsidRPr="00BD43BD" w14:paraId="319A4493" w14:textId="77777777" w:rsidTr="00535C15">
        <w:tblPrEx>
          <w:tblCellMar>
            <w:left w:w="70" w:type="dxa"/>
            <w:right w:w="70" w:type="dxa"/>
          </w:tblCellMar>
        </w:tblPrEx>
        <w:trPr>
          <w:gridBefore w:val="1"/>
          <w:wBefore w:w="6" w:type="dxa"/>
          <w:trHeight w:val="20"/>
        </w:trPr>
        <w:tc>
          <w:tcPr>
            <w:tcW w:w="6634" w:type="dxa"/>
            <w:gridSpan w:val="2"/>
            <w:vMerge w:val="restart"/>
            <w:tcBorders>
              <w:top w:val="nil"/>
              <w:left w:val="double" w:sz="6" w:space="0" w:color="44546A"/>
              <w:bottom w:val="double" w:sz="6" w:space="0" w:color="44546A"/>
              <w:right w:val="double" w:sz="6" w:space="0" w:color="44546A"/>
            </w:tcBorders>
            <w:shd w:val="clear" w:color="auto" w:fill="auto"/>
            <w:noWrap/>
            <w:vAlign w:val="center"/>
            <w:hideMark/>
          </w:tcPr>
          <w:p w14:paraId="6E244E01" w14:textId="77777777" w:rsidR="00BD43BD" w:rsidRPr="00EB031E" w:rsidRDefault="00BD43BD" w:rsidP="00BD43BD">
            <w:pPr>
              <w:spacing w:after="0" w:line="240" w:lineRule="auto"/>
              <w:rPr>
                <w:rFonts w:ascii="Book Antiqua" w:eastAsia="Times New Roman" w:hAnsi="Book Antiqua" w:cs="Calibri"/>
                <w:sz w:val="20"/>
                <w:szCs w:val="20"/>
                <w:lang w:eastAsia="es-CR"/>
              </w:rPr>
            </w:pPr>
            <w:r w:rsidRPr="00EB031E">
              <w:rPr>
                <w:rFonts w:ascii="Book Antiqua" w:eastAsia="Times New Roman" w:hAnsi="Book Antiqua" w:cs="Calibri"/>
                <w:sz w:val="20"/>
                <w:szCs w:val="20"/>
                <w:lang w:eastAsia="es-CR"/>
              </w:rPr>
              <w:t>Tribunal de Heredia</w:t>
            </w:r>
          </w:p>
        </w:tc>
        <w:tc>
          <w:tcPr>
            <w:tcW w:w="856" w:type="dxa"/>
            <w:tcBorders>
              <w:top w:val="nil"/>
              <w:left w:val="nil"/>
              <w:bottom w:val="double" w:sz="6" w:space="0" w:color="44546A"/>
              <w:right w:val="double" w:sz="6" w:space="0" w:color="44546A"/>
            </w:tcBorders>
            <w:shd w:val="clear" w:color="auto" w:fill="auto"/>
            <w:vAlign w:val="center"/>
            <w:hideMark/>
          </w:tcPr>
          <w:p w14:paraId="01D177B3" w14:textId="77777777" w:rsidR="00BD43BD" w:rsidRPr="00EB031E" w:rsidRDefault="00BD43BD" w:rsidP="00535C15">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Civil</w:t>
            </w:r>
          </w:p>
        </w:tc>
        <w:tc>
          <w:tcPr>
            <w:tcW w:w="1051" w:type="dxa"/>
            <w:tcBorders>
              <w:top w:val="nil"/>
              <w:left w:val="nil"/>
              <w:bottom w:val="double" w:sz="6" w:space="0" w:color="44546A"/>
              <w:right w:val="double" w:sz="6" w:space="0" w:color="44546A"/>
            </w:tcBorders>
            <w:shd w:val="clear" w:color="auto" w:fill="auto"/>
            <w:vAlign w:val="center"/>
            <w:hideMark/>
          </w:tcPr>
          <w:p w14:paraId="5BE9C0E7" w14:textId="77777777" w:rsidR="00BD43BD" w:rsidRPr="00EB031E" w:rsidRDefault="00BD43BD" w:rsidP="00BD43BD">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9</w:t>
            </w:r>
          </w:p>
        </w:tc>
      </w:tr>
      <w:tr w:rsidR="00BD43BD" w:rsidRPr="00BD43BD" w14:paraId="16DEEC6E" w14:textId="77777777" w:rsidTr="00535C15">
        <w:tblPrEx>
          <w:tblCellMar>
            <w:left w:w="70" w:type="dxa"/>
            <w:right w:w="70" w:type="dxa"/>
          </w:tblCellMar>
        </w:tblPrEx>
        <w:trPr>
          <w:gridBefore w:val="1"/>
          <w:wBefore w:w="6" w:type="dxa"/>
          <w:trHeight w:val="20"/>
        </w:trPr>
        <w:tc>
          <w:tcPr>
            <w:tcW w:w="6634" w:type="dxa"/>
            <w:gridSpan w:val="2"/>
            <w:vMerge/>
            <w:tcBorders>
              <w:top w:val="nil"/>
              <w:left w:val="double" w:sz="6" w:space="0" w:color="44546A"/>
              <w:bottom w:val="double" w:sz="6" w:space="0" w:color="44546A"/>
              <w:right w:val="double" w:sz="6" w:space="0" w:color="44546A"/>
            </w:tcBorders>
            <w:vAlign w:val="center"/>
            <w:hideMark/>
          </w:tcPr>
          <w:p w14:paraId="0645800A" w14:textId="77777777" w:rsidR="00BD43BD" w:rsidRPr="00EB031E" w:rsidRDefault="00BD43BD" w:rsidP="00BD43BD">
            <w:pPr>
              <w:spacing w:after="0" w:line="240" w:lineRule="auto"/>
              <w:rPr>
                <w:rFonts w:ascii="Book Antiqua" w:eastAsia="Times New Roman" w:hAnsi="Book Antiqua" w:cs="Calibri"/>
                <w:sz w:val="20"/>
                <w:szCs w:val="20"/>
                <w:lang w:eastAsia="es-CR"/>
              </w:rPr>
            </w:pPr>
          </w:p>
        </w:tc>
        <w:tc>
          <w:tcPr>
            <w:tcW w:w="856" w:type="dxa"/>
            <w:tcBorders>
              <w:top w:val="nil"/>
              <w:left w:val="nil"/>
              <w:bottom w:val="double" w:sz="6" w:space="0" w:color="44546A"/>
              <w:right w:val="double" w:sz="6" w:space="0" w:color="44546A"/>
            </w:tcBorders>
            <w:shd w:val="clear" w:color="auto" w:fill="auto"/>
            <w:vAlign w:val="center"/>
            <w:hideMark/>
          </w:tcPr>
          <w:p w14:paraId="334DC1CC" w14:textId="77777777" w:rsidR="00BD43BD" w:rsidRPr="00EB031E" w:rsidRDefault="00BD43BD" w:rsidP="00535C15">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Trabajo</w:t>
            </w:r>
          </w:p>
        </w:tc>
        <w:tc>
          <w:tcPr>
            <w:tcW w:w="1051" w:type="dxa"/>
            <w:tcBorders>
              <w:top w:val="nil"/>
              <w:left w:val="nil"/>
              <w:bottom w:val="double" w:sz="6" w:space="0" w:color="44546A"/>
              <w:right w:val="double" w:sz="6" w:space="0" w:color="44546A"/>
            </w:tcBorders>
            <w:shd w:val="clear" w:color="auto" w:fill="auto"/>
            <w:vAlign w:val="center"/>
            <w:hideMark/>
          </w:tcPr>
          <w:p w14:paraId="4910717F" w14:textId="77777777" w:rsidR="00BD43BD" w:rsidRPr="00EB031E" w:rsidRDefault="00BD43BD" w:rsidP="00BD43BD">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8</w:t>
            </w:r>
          </w:p>
        </w:tc>
      </w:tr>
      <w:tr w:rsidR="00BD43BD" w:rsidRPr="00BD43BD" w14:paraId="695F6FB7" w14:textId="77777777" w:rsidTr="00535C15">
        <w:tblPrEx>
          <w:tblCellMar>
            <w:left w:w="70" w:type="dxa"/>
            <w:right w:w="70" w:type="dxa"/>
          </w:tblCellMar>
        </w:tblPrEx>
        <w:trPr>
          <w:gridBefore w:val="1"/>
          <w:wBefore w:w="6" w:type="dxa"/>
          <w:trHeight w:val="20"/>
        </w:trPr>
        <w:tc>
          <w:tcPr>
            <w:tcW w:w="6634" w:type="dxa"/>
            <w:gridSpan w:val="2"/>
            <w:vMerge w:val="restart"/>
            <w:tcBorders>
              <w:top w:val="nil"/>
              <w:left w:val="double" w:sz="6" w:space="0" w:color="44546A"/>
              <w:bottom w:val="double" w:sz="6" w:space="0" w:color="44546A"/>
              <w:right w:val="double" w:sz="6" w:space="0" w:color="44546A"/>
            </w:tcBorders>
            <w:shd w:val="clear" w:color="000000" w:fill="D9E1F2"/>
            <w:noWrap/>
            <w:vAlign w:val="center"/>
            <w:hideMark/>
          </w:tcPr>
          <w:p w14:paraId="012102E5" w14:textId="77777777" w:rsidR="00BD43BD" w:rsidRPr="00EB031E" w:rsidRDefault="00BD43BD" w:rsidP="00BD43BD">
            <w:pPr>
              <w:spacing w:after="0" w:line="240" w:lineRule="auto"/>
              <w:rPr>
                <w:rFonts w:ascii="Book Antiqua" w:eastAsia="Times New Roman" w:hAnsi="Book Antiqua" w:cs="Calibri"/>
                <w:sz w:val="20"/>
                <w:szCs w:val="20"/>
                <w:lang w:eastAsia="es-CR"/>
              </w:rPr>
            </w:pPr>
            <w:r w:rsidRPr="00EB031E">
              <w:rPr>
                <w:rFonts w:ascii="Book Antiqua" w:eastAsia="Times New Roman" w:hAnsi="Book Antiqua" w:cs="Calibri"/>
                <w:sz w:val="20"/>
                <w:szCs w:val="20"/>
                <w:lang w:eastAsia="es-CR"/>
              </w:rPr>
              <w:t xml:space="preserve">Tribunal Primer Circuito Judicial de Guanacaste (Liberia) </w:t>
            </w:r>
          </w:p>
        </w:tc>
        <w:tc>
          <w:tcPr>
            <w:tcW w:w="856" w:type="dxa"/>
            <w:tcBorders>
              <w:top w:val="nil"/>
              <w:left w:val="nil"/>
              <w:bottom w:val="double" w:sz="6" w:space="0" w:color="44546A"/>
              <w:right w:val="double" w:sz="6" w:space="0" w:color="44546A"/>
            </w:tcBorders>
            <w:shd w:val="clear" w:color="000000" w:fill="D9E1F2"/>
            <w:vAlign w:val="center"/>
            <w:hideMark/>
          </w:tcPr>
          <w:p w14:paraId="6A78B0E1" w14:textId="77777777" w:rsidR="00BD43BD" w:rsidRPr="00EB031E" w:rsidRDefault="00BD43BD" w:rsidP="00535C15">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Civil</w:t>
            </w:r>
          </w:p>
        </w:tc>
        <w:tc>
          <w:tcPr>
            <w:tcW w:w="1051" w:type="dxa"/>
            <w:tcBorders>
              <w:top w:val="nil"/>
              <w:left w:val="nil"/>
              <w:bottom w:val="double" w:sz="6" w:space="0" w:color="44546A"/>
              <w:right w:val="double" w:sz="6" w:space="0" w:color="44546A"/>
            </w:tcBorders>
            <w:shd w:val="clear" w:color="000000" w:fill="D9E1F2"/>
            <w:vAlign w:val="center"/>
            <w:hideMark/>
          </w:tcPr>
          <w:p w14:paraId="33268F97" w14:textId="77777777" w:rsidR="00BD43BD" w:rsidRPr="00EB031E" w:rsidRDefault="00BD43BD" w:rsidP="00BD43BD">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9</w:t>
            </w:r>
          </w:p>
        </w:tc>
      </w:tr>
      <w:tr w:rsidR="00BD43BD" w:rsidRPr="00BD43BD" w14:paraId="7E96320D" w14:textId="77777777" w:rsidTr="00535C15">
        <w:tblPrEx>
          <w:tblCellMar>
            <w:left w:w="70" w:type="dxa"/>
            <w:right w:w="70" w:type="dxa"/>
          </w:tblCellMar>
        </w:tblPrEx>
        <w:trPr>
          <w:gridBefore w:val="1"/>
          <w:wBefore w:w="6" w:type="dxa"/>
          <w:trHeight w:val="20"/>
        </w:trPr>
        <w:tc>
          <w:tcPr>
            <w:tcW w:w="6634" w:type="dxa"/>
            <w:gridSpan w:val="2"/>
            <w:vMerge/>
            <w:tcBorders>
              <w:top w:val="nil"/>
              <w:left w:val="double" w:sz="6" w:space="0" w:color="44546A"/>
              <w:bottom w:val="double" w:sz="6" w:space="0" w:color="44546A"/>
              <w:right w:val="double" w:sz="6" w:space="0" w:color="44546A"/>
            </w:tcBorders>
            <w:vAlign w:val="center"/>
            <w:hideMark/>
          </w:tcPr>
          <w:p w14:paraId="0D4DB3D9" w14:textId="77777777" w:rsidR="00BD43BD" w:rsidRPr="00EB031E" w:rsidRDefault="00BD43BD" w:rsidP="00BD43BD">
            <w:pPr>
              <w:spacing w:after="0" w:line="240" w:lineRule="auto"/>
              <w:rPr>
                <w:rFonts w:ascii="Book Antiqua" w:eastAsia="Times New Roman" w:hAnsi="Book Antiqua" w:cs="Calibri"/>
                <w:sz w:val="20"/>
                <w:szCs w:val="20"/>
                <w:lang w:eastAsia="es-CR"/>
              </w:rPr>
            </w:pPr>
          </w:p>
        </w:tc>
        <w:tc>
          <w:tcPr>
            <w:tcW w:w="856" w:type="dxa"/>
            <w:tcBorders>
              <w:top w:val="nil"/>
              <w:left w:val="nil"/>
              <w:bottom w:val="double" w:sz="6" w:space="0" w:color="44546A"/>
              <w:right w:val="double" w:sz="6" w:space="0" w:color="44546A"/>
            </w:tcBorders>
            <w:shd w:val="clear" w:color="000000" w:fill="D9E1F2"/>
            <w:vAlign w:val="center"/>
            <w:hideMark/>
          </w:tcPr>
          <w:p w14:paraId="78F942AD" w14:textId="77777777" w:rsidR="00BD43BD" w:rsidRPr="00EB031E" w:rsidRDefault="00BD43BD" w:rsidP="00535C15">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Trabajo</w:t>
            </w:r>
          </w:p>
        </w:tc>
        <w:tc>
          <w:tcPr>
            <w:tcW w:w="1051" w:type="dxa"/>
            <w:tcBorders>
              <w:top w:val="nil"/>
              <w:left w:val="nil"/>
              <w:bottom w:val="double" w:sz="6" w:space="0" w:color="44546A"/>
              <w:right w:val="double" w:sz="6" w:space="0" w:color="44546A"/>
            </w:tcBorders>
            <w:shd w:val="clear" w:color="000000" w:fill="D9E1F2"/>
            <w:vAlign w:val="center"/>
            <w:hideMark/>
          </w:tcPr>
          <w:p w14:paraId="0D7FE58E" w14:textId="77777777" w:rsidR="00BD43BD" w:rsidRPr="00EB031E" w:rsidRDefault="00BD43BD" w:rsidP="00BD43BD">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8</w:t>
            </w:r>
          </w:p>
        </w:tc>
      </w:tr>
      <w:tr w:rsidR="00BD43BD" w:rsidRPr="00BD43BD" w14:paraId="5D78D90F" w14:textId="77777777" w:rsidTr="00535C15">
        <w:tblPrEx>
          <w:tblCellMar>
            <w:left w:w="70" w:type="dxa"/>
            <w:right w:w="70" w:type="dxa"/>
          </w:tblCellMar>
        </w:tblPrEx>
        <w:trPr>
          <w:gridBefore w:val="1"/>
          <w:wBefore w:w="6" w:type="dxa"/>
          <w:trHeight w:val="20"/>
        </w:trPr>
        <w:tc>
          <w:tcPr>
            <w:tcW w:w="6634" w:type="dxa"/>
            <w:gridSpan w:val="2"/>
            <w:vMerge w:val="restart"/>
            <w:tcBorders>
              <w:top w:val="nil"/>
              <w:left w:val="double" w:sz="6" w:space="0" w:color="44546A"/>
              <w:bottom w:val="double" w:sz="6" w:space="0" w:color="44546A"/>
              <w:right w:val="double" w:sz="6" w:space="0" w:color="44546A"/>
            </w:tcBorders>
            <w:shd w:val="clear" w:color="auto" w:fill="auto"/>
            <w:noWrap/>
            <w:vAlign w:val="center"/>
            <w:hideMark/>
          </w:tcPr>
          <w:p w14:paraId="630B2923" w14:textId="77777777" w:rsidR="00BD43BD" w:rsidRPr="00EB031E" w:rsidRDefault="00BD43BD" w:rsidP="00BD43BD">
            <w:pPr>
              <w:spacing w:after="0" w:line="240" w:lineRule="auto"/>
              <w:rPr>
                <w:rFonts w:ascii="Book Antiqua" w:eastAsia="Times New Roman" w:hAnsi="Book Antiqua" w:cs="Calibri"/>
                <w:sz w:val="20"/>
                <w:szCs w:val="20"/>
                <w:lang w:eastAsia="es-CR"/>
              </w:rPr>
            </w:pPr>
            <w:r w:rsidRPr="00EB031E">
              <w:rPr>
                <w:rFonts w:ascii="Book Antiqua" w:eastAsia="Times New Roman" w:hAnsi="Book Antiqua" w:cs="Calibri"/>
                <w:sz w:val="20"/>
                <w:szCs w:val="20"/>
                <w:lang w:eastAsia="es-CR"/>
              </w:rPr>
              <w:t xml:space="preserve">Tribunal de Puntarenas  </w:t>
            </w:r>
          </w:p>
        </w:tc>
        <w:tc>
          <w:tcPr>
            <w:tcW w:w="856" w:type="dxa"/>
            <w:tcBorders>
              <w:top w:val="nil"/>
              <w:left w:val="nil"/>
              <w:bottom w:val="double" w:sz="6" w:space="0" w:color="44546A"/>
              <w:right w:val="double" w:sz="6" w:space="0" w:color="44546A"/>
            </w:tcBorders>
            <w:shd w:val="clear" w:color="auto" w:fill="auto"/>
            <w:vAlign w:val="center"/>
            <w:hideMark/>
          </w:tcPr>
          <w:p w14:paraId="3E360CD7" w14:textId="77777777" w:rsidR="00BD43BD" w:rsidRPr="00EB031E" w:rsidRDefault="00BD43BD" w:rsidP="00535C15">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Civil</w:t>
            </w:r>
          </w:p>
        </w:tc>
        <w:tc>
          <w:tcPr>
            <w:tcW w:w="1051" w:type="dxa"/>
            <w:tcBorders>
              <w:top w:val="nil"/>
              <w:left w:val="nil"/>
              <w:bottom w:val="double" w:sz="6" w:space="0" w:color="44546A"/>
              <w:right w:val="double" w:sz="6" w:space="0" w:color="44546A"/>
            </w:tcBorders>
            <w:shd w:val="clear" w:color="auto" w:fill="auto"/>
            <w:vAlign w:val="center"/>
            <w:hideMark/>
          </w:tcPr>
          <w:p w14:paraId="3A9767E0" w14:textId="77777777" w:rsidR="00BD43BD" w:rsidRPr="00EB031E" w:rsidRDefault="00BD43BD" w:rsidP="00BD43BD">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9</w:t>
            </w:r>
          </w:p>
        </w:tc>
      </w:tr>
      <w:tr w:rsidR="00BD43BD" w:rsidRPr="00BD43BD" w14:paraId="146B5903" w14:textId="77777777" w:rsidTr="00535C15">
        <w:tblPrEx>
          <w:tblCellMar>
            <w:left w:w="70" w:type="dxa"/>
            <w:right w:w="70" w:type="dxa"/>
          </w:tblCellMar>
        </w:tblPrEx>
        <w:trPr>
          <w:gridBefore w:val="1"/>
          <w:wBefore w:w="6" w:type="dxa"/>
          <w:trHeight w:val="20"/>
        </w:trPr>
        <w:tc>
          <w:tcPr>
            <w:tcW w:w="6634" w:type="dxa"/>
            <w:gridSpan w:val="2"/>
            <w:vMerge/>
            <w:tcBorders>
              <w:top w:val="nil"/>
              <w:left w:val="double" w:sz="6" w:space="0" w:color="44546A"/>
              <w:bottom w:val="double" w:sz="6" w:space="0" w:color="44546A"/>
              <w:right w:val="double" w:sz="6" w:space="0" w:color="44546A"/>
            </w:tcBorders>
            <w:vAlign w:val="center"/>
            <w:hideMark/>
          </w:tcPr>
          <w:p w14:paraId="002C08BE" w14:textId="77777777" w:rsidR="00BD43BD" w:rsidRPr="00EB031E" w:rsidRDefault="00BD43BD" w:rsidP="00BD43BD">
            <w:pPr>
              <w:spacing w:after="0" w:line="240" w:lineRule="auto"/>
              <w:rPr>
                <w:rFonts w:ascii="Book Antiqua" w:eastAsia="Times New Roman" w:hAnsi="Book Antiqua" w:cs="Calibri"/>
                <w:sz w:val="20"/>
                <w:szCs w:val="20"/>
                <w:lang w:eastAsia="es-CR"/>
              </w:rPr>
            </w:pPr>
          </w:p>
        </w:tc>
        <w:tc>
          <w:tcPr>
            <w:tcW w:w="856" w:type="dxa"/>
            <w:tcBorders>
              <w:top w:val="nil"/>
              <w:left w:val="nil"/>
              <w:bottom w:val="double" w:sz="6" w:space="0" w:color="44546A"/>
              <w:right w:val="double" w:sz="6" w:space="0" w:color="44546A"/>
            </w:tcBorders>
            <w:shd w:val="clear" w:color="auto" w:fill="auto"/>
            <w:vAlign w:val="center"/>
            <w:hideMark/>
          </w:tcPr>
          <w:p w14:paraId="345810E7" w14:textId="77777777" w:rsidR="00BD43BD" w:rsidRPr="00EB031E" w:rsidRDefault="00BD43BD" w:rsidP="00535C15">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Trabajo</w:t>
            </w:r>
          </w:p>
        </w:tc>
        <w:tc>
          <w:tcPr>
            <w:tcW w:w="1051" w:type="dxa"/>
            <w:tcBorders>
              <w:top w:val="nil"/>
              <w:left w:val="nil"/>
              <w:bottom w:val="double" w:sz="6" w:space="0" w:color="44546A"/>
              <w:right w:val="double" w:sz="6" w:space="0" w:color="44546A"/>
            </w:tcBorders>
            <w:shd w:val="clear" w:color="auto" w:fill="auto"/>
            <w:vAlign w:val="center"/>
            <w:hideMark/>
          </w:tcPr>
          <w:p w14:paraId="318D4A62" w14:textId="77777777" w:rsidR="00BD43BD" w:rsidRPr="00EB031E" w:rsidRDefault="00BD43BD" w:rsidP="00BD43BD">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8</w:t>
            </w:r>
          </w:p>
        </w:tc>
      </w:tr>
      <w:tr w:rsidR="00BD43BD" w:rsidRPr="00BD43BD" w14:paraId="6455680C" w14:textId="77777777" w:rsidTr="00535C15">
        <w:tblPrEx>
          <w:tblCellMar>
            <w:left w:w="70" w:type="dxa"/>
            <w:right w:w="70" w:type="dxa"/>
          </w:tblCellMar>
        </w:tblPrEx>
        <w:trPr>
          <w:gridBefore w:val="1"/>
          <w:wBefore w:w="6" w:type="dxa"/>
          <w:trHeight w:val="20"/>
        </w:trPr>
        <w:tc>
          <w:tcPr>
            <w:tcW w:w="6634" w:type="dxa"/>
            <w:gridSpan w:val="2"/>
            <w:vMerge w:val="restart"/>
            <w:tcBorders>
              <w:top w:val="nil"/>
              <w:left w:val="double" w:sz="6" w:space="0" w:color="44546A"/>
              <w:bottom w:val="double" w:sz="6" w:space="0" w:color="44546A"/>
              <w:right w:val="double" w:sz="6" w:space="0" w:color="44546A"/>
            </w:tcBorders>
            <w:shd w:val="clear" w:color="000000" w:fill="D9E1F2"/>
            <w:noWrap/>
            <w:vAlign w:val="center"/>
            <w:hideMark/>
          </w:tcPr>
          <w:p w14:paraId="75427F89" w14:textId="77777777" w:rsidR="00BD43BD" w:rsidRPr="00EB031E" w:rsidRDefault="00BD43BD" w:rsidP="00BD43BD">
            <w:pPr>
              <w:spacing w:after="0" w:line="240" w:lineRule="auto"/>
              <w:rPr>
                <w:rFonts w:ascii="Book Antiqua" w:eastAsia="Times New Roman" w:hAnsi="Book Antiqua" w:cs="Calibri"/>
                <w:sz w:val="20"/>
                <w:szCs w:val="20"/>
                <w:lang w:eastAsia="es-CR"/>
              </w:rPr>
            </w:pPr>
            <w:r w:rsidRPr="00EB031E">
              <w:rPr>
                <w:rFonts w:ascii="Book Antiqua" w:eastAsia="Times New Roman" w:hAnsi="Book Antiqua" w:cs="Calibri"/>
                <w:sz w:val="20"/>
                <w:szCs w:val="20"/>
                <w:lang w:eastAsia="es-CR"/>
              </w:rPr>
              <w:t xml:space="preserve">Tribunal Primer Circuito Judicial de la Zona Atlántica </w:t>
            </w:r>
          </w:p>
        </w:tc>
        <w:tc>
          <w:tcPr>
            <w:tcW w:w="856" w:type="dxa"/>
            <w:tcBorders>
              <w:top w:val="nil"/>
              <w:left w:val="nil"/>
              <w:bottom w:val="double" w:sz="6" w:space="0" w:color="44546A"/>
              <w:right w:val="double" w:sz="6" w:space="0" w:color="44546A"/>
            </w:tcBorders>
            <w:shd w:val="clear" w:color="000000" w:fill="D9E1F2"/>
            <w:vAlign w:val="center"/>
            <w:hideMark/>
          </w:tcPr>
          <w:p w14:paraId="1323947F" w14:textId="77777777" w:rsidR="00BD43BD" w:rsidRPr="00EB031E" w:rsidRDefault="00BD43BD" w:rsidP="00535C15">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Civil</w:t>
            </w:r>
          </w:p>
        </w:tc>
        <w:tc>
          <w:tcPr>
            <w:tcW w:w="1051" w:type="dxa"/>
            <w:tcBorders>
              <w:top w:val="nil"/>
              <w:left w:val="nil"/>
              <w:bottom w:val="double" w:sz="6" w:space="0" w:color="44546A"/>
              <w:right w:val="double" w:sz="6" w:space="0" w:color="44546A"/>
            </w:tcBorders>
            <w:shd w:val="clear" w:color="000000" w:fill="D9E1F2"/>
            <w:vAlign w:val="center"/>
            <w:hideMark/>
          </w:tcPr>
          <w:p w14:paraId="57048B00" w14:textId="77777777" w:rsidR="00BD43BD" w:rsidRPr="00EB031E" w:rsidRDefault="00BD43BD" w:rsidP="00BD43BD">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8</w:t>
            </w:r>
          </w:p>
        </w:tc>
      </w:tr>
      <w:tr w:rsidR="00BD43BD" w:rsidRPr="00BD43BD" w14:paraId="50AB1F21" w14:textId="77777777" w:rsidTr="00535C15">
        <w:tblPrEx>
          <w:tblCellMar>
            <w:left w:w="70" w:type="dxa"/>
            <w:right w:w="70" w:type="dxa"/>
          </w:tblCellMar>
        </w:tblPrEx>
        <w:trPr>
          <w:gridBefore w:val="1"/>
          <w:wBefore w:w="6" w:type="dxa"/>
          <w:trHeight w:val="20"/>
        </w:trPr>
        <w:tc>
          <w:tcPr>
            <w:tcW w:w="6634" w:type="dxa"/>
            <w:gridSpan w:val="2"/>
            <w:vMerge/>
            <w:tcBorders>
              <w:top w:val="nil"/>
              <w:left w:val="double" w:sz="6" w:space="0" w:color="44546A"/>
              <w:bottom w:val="double" w:sz="6" w:space="0" w:color="44546A"/>
              <w:right w:val="double" w:sz="6" w:space="0" w:color="44546A"/>
            </w:tcBorders>
            <w:vAlign w:val="center"/>
            <w:hideMark/>
          </w:tcPr>
          <w:p w14:paraId="3B858786" w14:textId="77777777" w:rsidR="00BD43BD" w:rsidRPr="00EB031E" w:rsidRDefault="00BD43BD" w:rsidP="00BD43BD">
            <w:pPr>
              <w:spacing w:after="0" w:line="240" w:lineRule="auto"/>
              <w:rPr>
                <w:rFonts w:ascii="Book Antiqua" w:eastAsia="Times New Roman" w:hAnsi="Book Antiqua" w:cs="Calibri"/>
                <w:sz w:val="20"/>
                <w:szCs w:val="20"/>
                <w:lang w:eastAsia="es-CR"/>
              </w:rPr>
            </w:pPr>
          </w:p>
        </w:tc>
        <w:tc>
          <w:tcPr>
            <w:tcW w:w="856" w:type="dxa"/>
            <w:tcBorders>
              <w:top w:val="nil"/>
              <w:left w:val="nil"/>
              <w:bottom w:val="double" w:sz="6" w:space="0" w:color="44546A"/>
              <w:right w:val="double" w:sz="6" w:space="0" w:color="44546A"/>
            </w:tcBorders>
            <w:shd w:val="clear" w:color="000000" w:fill="D9E1F2"/>
            <w:vAlign w:val="center"/>
            <w:hideMark/>
          </w:tcPr>
          <w:p w14:paraId="0CAD007E" w14:textId="77777777" w:rsidR="00BD43BD" w:rsidRPr="00EB031E" w:rsidRDefault="00BD43BD" w:rsidP="00535C15">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Trabajo</w:t>
            </w:r>
          </w:p>
        </w:tc>
        <w:tc>
          <w:tcPr>
            <w:tcW w:w="1051" w:type="dxa"/>
            <w:tcBorders>
              <w:top w:val="nil"/>
              <w:left w:val="nil"/>
              <w:bottom w:val="double" w:sz="6" w:space="0" w:color="44546A"/>
              <w:right w:val="double" w:sz="6" w:space="0" w:color="44546A"/>
            </w:tcBorders>
            <w:shd w:val="clear" w:color="000000" w:fill="D9E1F2"/>
            <w:vAlign w:val="center"/>
            <w:hideMark/>
          </w:tcPr>
          <w:p w14:paraId="63F888F6" w14:textId="77777777" w:rsidR="00BD43BD" w:rsidRPr="00EB031E" w:rsidRDefault="00BD43BD" w:rsidP="00BD43BD">
            <w:pPr>
              <w:spacing w:after="0" w:line="240" w:lineRule="auto"/>
              <w:jc w:val="center"/>
              <w:rPr>
                <w:rFonts w:ascii="Book Antiqua" w:eastAsia="Times New Roman" w:hAnsi="Book Antiqua" w:cs="Calibri"/>
                <w:b/>
                <w:bCs/>
                <w:i/>
                <w:iCs/>
                <w:color w:val="000000"/>
                <w:sz w:val="20"/>
                <w:szCs w:val="20"/>
                <w:lang w:eastAsia="es-CR"/>
              </w:rPr>
            </w:pPr>
            <w:r w:rsidRPr="00EB031E">
              <w:rPr>
                <w:rFonts w:ascii="Book Antiqua" w:eastAsia="Times New Roman" w:hAnsi="Book Antiqua" w:cs="Calibri"/>
                <w:b/>
                <w:bCs/>
                <w:i/>
                <w:iCs/>
                <w:color w:val="000000"/>
                <w:sz w:val="20"/>
                <w:szCs w:val="20"/>
                <w:lang w:eastAsia="es-CR"/>
              </w:rPr>
              <w:t>9</w:t>
            </w:r>
          </w:p>
        </w:tc>
      </w:tr>
    </w:tbl>
    <w:p w14:paraId="16E9D7C9" w14:textId="77777777" w:rsidR="009A6611" w:rsidRDefault="009A6611" w:rsidP="002C525B">
      <w:pPr>
        <w:pStyle w:val="Prrafodelista"/>
        <w:spacing w:line="276" w:lineRule="auto"/>
        <w:jc w:val="both"/>
        <w:rPr>
          <w:rFonts w:ascii="Book Antiqua" w:hAnsi="Book Antiqua"/>
        </w:rPr>
      </w:pPr>
    </w:p>
    <w:p w14:paraId="7ECC1906" w14:textId="5BDA1C79" w:rsidR="00B979AE" w:rsidRPr="00DA5781" w:rsidRDefault="00AA7184" w:rsidP="009C259C">
      <w:pPr>
        <w:pStyle w:val="Prrafodelista"/>
        <w:numPr>
          <w:ilvl w:val="0"/>
          <w:numId w:val="3"/>
        </w:numPr>
        <w:spacing w:line="276" w:lineRule="auto"/>
        <w:jc w:val="both"/>
        <w:rPr>
          <w:rFonts w:ascii="Book Antiqua" w:hAnsi="Book Antiqua"/>
        </w:rPr>
      </w:pPr>
      <w:r>
        <w:rPr>
          <w:rFonts w:ascii="Book Antiqua" w:hAnsi="Book Antiqua"/>
        </w:rPr>
        <w:t>Valorar y a</w:t>
      </w:r>
      <w:r w:rsidR="00B979AE">
        <w:rPr>
          <w:rFonts w:ascii="Book Antiqua" w:hAnsi="Book Antiqua"/>
        </w:rPr>
        <w:t>probar</w:t>
      </w:r>
      <w:r>
        <w:rPr>
          <w:rFonts w:ascii="Book Antiqua" w:hAnsi="Book Antiqua"/>
        </w:rPr>
        <w:t xml:space="preserve">, en caso de identificarlo como adecuado, la reducción del 25% en la cuota de trabajo para la persona juzgadora </w:t>
      </w:r>
      <w:r w:rsidR="00B979AE" w:rsidRPr="009B696B">
        <w:rPr>
          <w:rFonts w:ascii="Book Antiqua" w:hAnsi="Book Antiqua"/>
        </w:rPr>
        <w:t>coordinadoras de los Despachos que cuentan con más de tres Juezas o Jueces,</w:t>
      </w:r>
      <w:r w:rsidR="000E7662" w:rsidRPr="009B696B" w:rsidDel="000E7662">
        <w:rPr>
          <w:rFonts w:ascii="Book Antiqua" w:hAnsi="Book Antiqua"/>
        </w:rPr>
        <w:t xml:space="preserve"> </w:t>
      </w:r>
      <w:r w:rsidR="00512B4B">
        <w:rPr>
          <w:rFonts w:ascii="Book Antiqua" w:hAnsi="Book Antiqua"/>
        </w:rPr>
        <w:t xml:space="preserve"> en línea con lo establecido en la </w:t>
      </w:r>
      <w:r w:rsidR="0043071F">
        <w:rPr>
          <w:rFonts w:ascii="Book Antiqua" w:hAnsi="Book Antiqua"/>
        </w:rPr>
        <w:t xml:space="preserve">Circular N°33-2013 </w:t>
      </w:r>
      <w:r w:rsidR="0043071F" w:rsidRPr="00D224C5">
        <w:rPr>
          <w:rFonts w:ascii="Book Antiqua" w:hAnsi="Book Antiqua"/>
        </w:rPr>
        <w:t xml:space="preserve">de </w:t>
      </w:r>
      <w:r w:rsidR="0043071F">
        <w:rPr>
          <w:rFonts w:ascii="Book Antiqua" w:hAnsi="Book Antiqua"/>
        </w:rPr>
        <w:t xml:space="preserve">la </w:t>
      </w:r>
      <w:r w:rsidR="0043071F" w:rsidRPr="00D224C5">
        <w:rPr>
          <w:rFonts w:ascii="Book Antiqua" w:hAnsi="Book Antiqua"/>
        </w:rPr>
        <w:t>Secretaría de la Corte</w:t>
      </w:r>
      <w:r w:rsidR="0043071F">
        <w:rPr>
          <w:rFonts w:ascii="Book Antiqua" w:hAnsi="Book Antiqua"/>
        </w:rPr>
        <w:t>, relacionada con “</w:t>
      </w:r>
      <w:r w:rsidR="0043071F" w:rsidRPr="00D224C5">
        <w:rPr>
          <w:rFonts w:ascii="Book Antiqua" w:hAnsi="Book Antiqua"/>
          <w:i/>
          <w:iCs/>
        </w:rPr>
        <w:t>Asunto: Sobre la coordinación de despachos judiciales</w:t>
      </w:r>
      <w:r w:rsidR="0043071F">
        <w:rPr>
          <w:rFonts w:ascii="Book Antiqua" w:hAnsi="Book Antiqua"/>
          <w:i/>
          <w:iCs/>
        </w:rPr>
        <w:t>”</w:t>
      </w:r>
      <w:r w:rsidR="00B979AE" w:rsidRPr="00182ED4">
        <w:rPr>
          <w:rFonts w:ascii="Book Antiqua" w:hAnsi="Book Antiqua"/>
        </w:rPr>
        <w:t xml:space="preserve">. </w:t>
      </w:r>
    </w:p>
    <w:p w14:paraId="1375800F" w14:textId="48B8B850" w:rsidR="007F42EB" w:rsidRPr="00535C15" w:rsidRDefault="00B979AE" w:rsidP="009C259C">
      <w:pPr>
        <w:pStyle w:val="Prrafodelista"/>
        <w:numPr>
          <w:ilvl w:val="0"/>
          <w:numId w:val="3"/>
        </w:numPr>
        <w:spacing w:line="276" w:lineRule="auto"/>
        <w:jc w:val="both"/>
        <w:rPr>
          <w:rFonts w:ascii="Book Antiqua" w:hAnsi="Book Antiqua"/>
        </w:rPr>
      </w:pPr>
      <w:r w:rsidRPr="004A6B77">
        <w:rPr>
          <w:rFonts w:ascii="Book Antiqua" w:hAnsi="Book Antiqua"/>
        </w:rPr>
        <w:t>Aprobar las</w:t>
      </w:r>
      <w:r w:rsidR="0043071F" w:rsidRPr="004A6B77">
        <w:rPr>
          <w:rFonts w:ascii="Book Antiqua" w:hAnsi="Book Antiqua"/>
        </w:rPr>
        <w:t xml:space="preserve"> modificaciones realizadas a las</w:t>
      </w:r>
      <w:r w:rsidRPr="004A6B77">
        <w:rPr>
          <w:rFonts w:ascii="Book Antiqua" w:hAnsi="Book Antiqua"/>
        </w:rPr>
        <w:t xml:space="preserve"> Matrices de Indicadores de los Tribunales de Apelación Civil y Trabajo con </w:t>
      </w:r>
      <w:r w:rsidRPr="00AD7EC3">
        <w:rPr>
          <w:rFonts w:ascii="Book Antiqua" w:hAnsi="Book Antiqua"/>
        </w:rPr>
        <w:t xml:space="preserve">las cuotas de trabajo segregadas por materia </w:t>
      </w:r>
      <w:r w:rsidR="007F42EB" w:rsidRPr="00AD7EC3">
        <w:rPr>
          <w:rFonts w:ascii="Book Antiqua" w:hAnsi="Book Antiqua"/>
        </w:rPr>
        <w:t>y las actualizaciones de los parámetros</w:t>
      </w:r>
      <w:r w:rsidR="00421BE2">
        <w:rPr>
          <w:rFonts w:ascii="Book Antiqua" w:hAnsi="Book Antiqua"/>
        </w:rPr>
        <w:t xml:space="preserve"> </w:t>
      </w:r>
      <w:r w:rsidRPr="004A6B77">
        <w:rPr>
          <w:rFonts w:ascii="Book Antiqua" w:hAnsi="Book Antiqua"/>
        </w:rPr>
        <w:t>(</w:t>
      </w:r>
      <w:r w:rsidRPr="009B696B">
        <w:rPr>
          <w:rFonts w:ascii="Book Antiqua" w:hAnsi="Book Antiqua"/>
          <w:i/>
          <w:iCs/>
        </w:rPr>
        <w:t xml:space="preserve">ver anexo </w:t>
      </w:r>
      <w:r w:rsidR="00546ABD">
        <w:rPr>
          <w:rFonts w:ascii="Book Antiqua" w:hAnsi="Book Antiqua"/>
          <w:i/>
          <w:iCs/>
        </w:rPr>
        <w:t>7</w:t>
      </w:r>
      <w:r w:rsidR="00653CF0">
        <w:rPr>
          <w:rFonts w:ascii="Book Antiqua" w:hAnsi="Book Antiqua"/>
          <w:i/>
          <w:iCs/>
        </w:rPr>
        <w:t xml:space="preserve"> al 13 se adjuntan la</w:t>
      </w:r>
      <w:r w:rsidRPr="009B696B">
        <w:rPr>
          <w:rFonts w:ascii="Book Antiqua" w:hAnsi="Book Antiqua"/>
          <w:i/>
          <w:iCs/>
        </w:rPr>
        <w:t xml:space="preserve"> Propuesta de Matriz de Indicadores</w:t>
      </w:r>
      <w:r w:rsidR="00546ABD">
        <w:rPr>
          <w:rFonts w:ascii="Book Antiqua" w:hAnsi="Book Antiqua"/>
          <w:i/>
          <w:iCs/>
        </w:rPr>
        <w:t xml:space="preserve"> de los siete Tribunales de Apelación Civil y Laboral del país</w:t>
      </w:r>
      <w:r w:rsidRPr="009B696B">
        <w:rPr>
          <w:rFonts w:ascii="Book Antiqua" w:hAnsi="Book Antiqua"/>
          <w:i/>
          <w:iCs/>
        </w:rPr>
        <w:t>)</w:t>
      </w:r>
      <w:r w:rsidRPr="00182ED4">
        <w:rPr>
          <w:rFonts w:ascii="Book Antiqua" w:hAnsi="Book Antiqua"/>
          <w:i/>
          <w:iCs/>
        </w:rPr>
        <w:t xml:space="preserve">. </w:t>
      </w:r>
    </w:p>
    <w:p w14:paraId="7183B62B" w14:textId="77777777" w:rsidR="00535C15" w:rsidRDefault="00535C15" w:rsidP="00535C15">
      <w:pPr>
        <w:pStyle w:val="Prrafodelista"/>
        <w:spacing w:line="276" w:lineRule="auto"/>
        <w:jc w:val="both"/>
        <w:rPr>
          <w:rFonts w:ascii="Book Antiqua" w:hAnsi="Book Antiqua"/>
        </w:rPr>
      </w:pPr>
    </w:p>
    <w:p w14:paraId="62C17331" w14:textId="77777777" w:rsidR="00B979AE" w:rsidRDefault="00B979AE" w:rsidP="00B979AE">
      <w:pPr>
        <w:spacing w:line="276" w:lineRule="auto"/>
        <w:jc w:val="both"/>
        <w:rPr>
          <w:rFonts w:ascii="Book Antiqua" w:hAnsi="Book Antiqua"/>
          <w:b/>
          <w:bCs/>
        </w:rPr>
      </w:pPr>
      <w:r w:rsidRPr="0099199E">
        <w:rPr>
          <w:rFonts w:ascii="Book Antiqua" w:hAnsi="Book Antiqua"/>
          <w:b/>
          <w:bCs/>
        </w:rPr>
        <w:t xml:space="preserve">A los despachos judiciales </w:t>
      </w:r>
    </w:p>
    <w:p w14:paraId="326D0D2C" w14:textId="0FDB1D19" w:rsidR="00B979AE" w:rsidRPr="004B6036" w:rsidRDefault="00B979AE" w:rsidP="009C259C">
      <w:pPr>
        <w:pStyle w:val="Prrafodelista"/>
        <w:numPr>
          <w:ilvl w:val="0"/>
          <w:numId w:val="3"/>
        </w:numPr>
        <w:spacing w:line="276" w:lineRule="auto"/>
        <w:jc w:val="both"/>
        <w:rPr>
          <w:rFonts w:ascii="Book Antiqua" w:hAnsi="Book Antiqua"/>
        </w:rPr>
      </w:pPr>
      <w:r>
        <w:rPr>
          <w:rFonts w:ascii="Book Antiqua" w:hAnsi="Book Antiqua"/>
        </w:rPr>
        <w:t>L</w:t>
      </w:r>
      <w:r w:rsidRPr="00410ED4">
        <w:rPr>
          <w:rFonts w:ascii="Book Antiqua" w:hAnsi="Book Antiqua"/>
        </w:rPr>
        <w:t>as personas jugadoras debe</w:t>
      </w:r>
      <w:r>
        <w:rPr>
          <w:rFonts w:ascii="Book Antiqua" w:hAnsi="Book Antiqua"/>
        </w:rPr>
        <w:t>rán</w:t>
      </w:r>
      <w:r w:rsidRPr="00410ED4">
        <w:rPr>
          <w:rFonts w:ascii="Book Antiqua" w:hAnsi="Book Antiqua"/>
        </w:rPr>
        <w:t xml:space="preserve"> conocer ambas materias, </w:t>
      </w:r>
      <w:r w:rsidR="007E17F4">
        <w:rPr>
          <w:rFonts w:ascii="Book Antiqua" w:hAnsi="Book Antiqua"/>
        </w:rPr>
        <w:t>debido que</w:t>
      </w:r>
      <w:r w:rsidRPr="00410ED4">
        <w:rPr>
          <w:rFonts w:ascii="Book Antiqua" w:hAnsi="Book Antiqua"/>
        </w:rPr>
        <w:t xml:space="preserve"> no aplica la </w:t>
      </w:r>
      <w:r w:rsidRPr="004B6036">
        <w:rPr>
          <w:rFonts w:ascii="Book Antiqua" w:hAnsi="Book Antiqua"/>
        </w:rPr>
        <w:t>especialización</w:t>
      </w:r>
      <w:r w:rsidR="00C710FE" w:rsidRPr="004B6036">
        <w:rPr>
          <w:rFonts w:ascii="Book Antiqua" w:hAnsi="Book Antiqua"/>
        </w:rPr>
        <w:t xml:space="preserve"> a lo interno de los tribunales</w:t>
      </w:r>
      <w:r w:rsidRPr="004B6036">
        <w:rPr>
          <w:rFonts w:ascii="Book Antiqua" w:hAnsi="Book Antiqua"/>
        </w:rPr>
        <w:t xml:space="preserve">. </w:t>
      </w:r>
    </w:p>
    <w:p w14:paraId="63F7EEBE" w14:textId="3665BED9" w:rsidR="005622BE" w:rsidRPr="004B6036" w:rsidRDefault="005622BE" w:rsidP="009C259C">
      <w:pPr>
        <w:pStyle w:val="Prrafodelista"/>
        <w:numPr>
          <w:ilvl w:val="0"/>
          <w:numId w:val="3"/>
        </w:numPr>
        <w:spacing w:line="276" w:lineRule="auto"/>
        <w:jc w:val="both"/>
        <w:rPr>
          <w:rFonts w:ascii="Book Antiqua" w:hAnsi="Book Antiqua"/>
        </w:rPr>
      </w:pPr>
      <w:r w:rsidRPr="004B6036">
        <w:rPr>
          <w:rFonts w:ascii="Book Antiqua" w:hAnsi="Book Antiqua"/>
        </w:rPr>
        <w:t>Las cuotas de producción deben cumplirse en ambas materias y no cabe que una materia compense a la otra en su totalidad.</w:t>
      </w:r>
    </w:p>
    <w:p w14:paraId="1C9F19D1" w14:textId="77777777" w:rsidR="00B979AE" w:rsidRPr="004B6036" w:rsidRDefault="00B979AE" w:rsidP="009C259C">
      <w:pPr>
        <w:pStyle w:val="Prrafodelista"/>
        <w:numPr>
          <w:ilvl w:val="0"/>
          <w:numId w:val="3"/>
        </w:numPr>
        <w:spacing w:line="276" w:lineRule="auto"/>
        <w:jc w:val="both"/>
        <w:rPr>
          <w:rFonts w:ascii="Book Antiqua" w:hAnsi="Book Antiqua"/>
        </w:rPr>
      </w:pPr>
      <w:r w:rsidRPr="004B6036">
        <w:rPr>
          <w:rFonts w:ascii="Book Antiqua" w:hAnsi="Book Antiqua"/>
        </w:rPr>
        <w:t xml:space="preserve">La entrada de casos nuevos deberá ser distribuidos por tipo de proceso de forma equitativa por materia entre el personal juzgador, de forma tal, que las cargas de trabajo sean homologas. </w:t>
      </w:r>
    </w:p>
    <w:p w14:paraId="1B680E5D" w14:textId="5983422B" w:rsidR="00B979AE" w:rsidRDefault="00B979AE" w:rsidP="009C259C">
      <w:pPr>
        <w:pStyle w:val="Prrafodelista"/>
        <w:numPr>
          <w:ilvl w:val="0"/>
          <w:numId w:val="3"/>
        </w:numPr>
        <w:spacing w:line="276" w:lineRule="auto"/>
        <w:jc w:val="both"/>
        <w:rPr>
          <w:rFonts w:ascii="Book Antiqua" w:hAnsi="Book Antiqua"/>
        </w:rPr>
      </w:pPr>
      <w:r w:rsidRPr="004B6036">
        <w:rPr>
          <w:rFonts w:ascii="Book Antiqua" w:hAnsi="Book Antiqua"/>
        </w:rPr>
        <w:t>Por la dinámica de los Tribunales</w:t>
      </w:r>
      <w:r w:rsidR="00C710FE">
        <w:rPr>
          <w:rFonts w:ascii="Book Antiqua" w:hAnsi="Book Antiqua"/>
        </w:rPr>
        <w:t xml:space="preserve"> competentes en civil y trabajo</w:t>
      </w:r>
      <w:r w:rsidRPr="00410ED4">
        <w:rPr>
          <w:rFonts w:ascii="Book Antiqua" w:hAnsi="Book Antiqua"/>
        </w:rPr>
        <w:t xml:space="preserve"> </w:t>
      </w:r>
      <w:r w:rsidR="00C710FE">
        <w:rPr>
          <w:rFonts w:ascii="Book Antiqua" w:hAnsi="Book Antiqua"/>
        </w:rPr>
        <w:t xml:space="preserve">y la estructura mínima de personal del que disponen, </w:t>
      </w:r>
      <w:r w:rsidRPr="00410ED4">
        <w:rPr>
          <w:rFonts w:ascii="Book Antiqua" w:hAnsi="Book Antiqua"/>
        </w:rPr>
        <w:t>no contará</w:t>
      </w:r>
      <w:r w:rsidR="00C710FE">
        <w:rPr>
          <w:rFonts w:ascii="Book Antiqua" w:hAnsi="Book Antiqua"/>
        </w:rPr>
        <w:t>n</w:t>
      </w:r>
      <w:r w:rsidRPr="00410ED4">
        <w:rPr>
          <w:rFonts w:ascii="Book Antiqua" w:hAnsi="Book Antiqua"/>
        </w:rPr>
        <w:t xml:space="preserve"> con la figura de Juez o Jueza Tramitadora</w:t>
      </w:r>
      <w:r w:rsidR="008027A4">
        <w:rPr>
          <w:rFonts w:ascii="Book Antiqua" w:hAnsi="Book Antiqua"/>
        </w:rPr>
        <w:t>.</w:t>
      </w:r>
      <w:r w:rsidRPr="00410ED4">
        <w:rPr>
          <w:rFonts w:ascii="Book Antiqua" w:hAnsi="Book Antiqua"/>
        </w:rPr>
        <w:t xml:space="preserve"> </w:t>
      </w:r>
    </w:p>
    <w:p w14:paraId="39AD248A" w14:textId="5A77DD0F" w:rsidR="00290663" w:rsidRPr="00290663" w:rsidRDefault="00290663" w:rsidP="009C259C">
      <w:pPr>
        <w:pStyle w:val="Prrafodelista"/>
        <w:numPr>
          <w:ilvl w:val="0"/>
          <w:numId w:val="3"/>
        </w:numPr>
        <w:spacing w:line="276" w:lineRule="auto"/>
        <w:jc w:val="both"/>
        <w:rPr>
          <w:rFonts w:ascii="Book Antiqua" w:hAnsi="Book Antiqua"/>
        </w:rPr>
      </w:pPr>
      <w:r w:rsidRPr="00E6689E">
        <w:rPr>
          <w:rFonts w:ascii="Book Antiqua" w:hAnsi="Book Antiqua"/>
        </w:rPr>
        <w:t>El Equipo de Mejora deberá verificar el correcto funcionamiento del Juzgado, con los de los Indicadores de Gestión establecidos.  </w:t>
      </w:r>
    </w:p>
    <w:p w14:paraId="1B843334" w14:textId="3832793F" w:rsidR="00290663" w:rsidRPr="00E6689E" w:rsidRDefault="00290663" w:rsidP="009C259C">
      <w:pPr>
        <w:pStyle w:val="Prrafodelista"/>
        <w:numPr>
          <w:ilvl w:val="0"/>
          <w:numId w:val="3"/>
        </w:numPr>
        <w:spacing w:line="276" w:lineRule="auto"/>
        <w:jc w:val="both"/>
        <w:rPr>
          <w:rFonts w:ascii="Book Antiqua" w:hAnsi="Book Antiqua"/>
        </w:rPr>
      </w:pPr>
      <w:r w:rsidRPr="00E6689E">
        <w:rPr>
          <w:rFonts w:ascii="Book Antiqua" w:hAnsi="Book Antiqua"/>
        </w:rPr>
        <w:t>El personal técnico judicial, bajo la supervisión del Juez o Jueza y del Coordinador o Coordinadora Judicial, serán los responsables de mantener actualizadas las fases, tareas, ubicaciones, prioridades y estados de los expedientes del circulante activo del despacho, lo que implica que cada vez que se realice una gestión, trámite o revisión en el expediente se debe actualizar.  </w:t>
      </w:r>
    </w:p>
    <w:p w14:paraId="458E7BA9" w14:textId="6AEF95D2" w:rsidR="00FE2F11" w:rsidRPr="00E6689E" w:rsidRDefault="00FE2F11" w:rsidP="009C259C">
      <w:pPr>
        <w:pStyle w:val="Prrafodelista"/>
        <w:numPr>
          <w:ilvl w:val="0"/>
          <w:numId w:val="3"/>
        </w:numPr>
        <w:spacing w:line="276" w:lineRule="auto"/>
        <w:jc w:val="both"/>
        <w:rPr>
          <w:rFonts w:ascii="Book Antiqua" w:hAnsi="Book Antiqua"/>
        </w:rPr>
      </w:pPr>
      <w:r w:rsidRPr="00E6689E">
        <w:rPr>
          <w:rFonts w:ascii="Book Antiqua" w:hAnsi="Book Antiqua"/>
        </w:rPr>
        <w:t xml:space="preserve">Dar cumplimiento a las circulares 87-15, 159-15, 27 y 28-16, 160-16, 89-18 y 133-18, sobre su obligación de colaborar con el personal de la Dirección de Tecnología de Información, para realizar labor de seguimiento de actualización de los sistemas, donde se contempla las mejoras que se diseñan y su uso, esto como parte de los grandes esfuerzos e inversión de recursos que realiza la Institución, que buscan aumentar la eficiencia del </w:t>
      </w:r>
      <w:r w:rsidR="00290663" w:rsidRPr="00E6689E">
        <w:rPr>
          <w:rFonts w:ascii="Book Antiqua" w:hAnsi="Book Antiqua"/>
        </w:rPr>
        <w:t>despacho</w:t>
      </w:r>
      <w:r w:rsidRPr="00E6689E">
        <w:rPr>
          <w:rFonts w:ascii="Book Antiqua" w:hAnsi="Book Antiqua"/>
        </w:rPr>
        <w:t>, optimizar la utilización de la tecnología, reducir los tiempos de trabajo y generar información vital para la toma de decisiones a nivel del despacho y gerencial. </w:t>
      </w:r>
    </w:p>
    <w:p w14:paraId="33C23133" w14:textId="77777777" w:rsidR="00B979AE" w:rsidRPr="00DA5781" w:rsidRDefault="00B979AE" w:rsidP="00B979AE">
      <w:pPr>
        <w:spacing w:line="276" w:lineRule="auto"/>
        <w:jc w:val="both"/>
        <w:rPr>
          <w:rFonts w:ascii="Book Antiqua" w:hAnsi="Book Antiqua"/>
        </w:rPr>
      </w:pPr>
      <w:r w:rsidRPr="0099199E">
        <w:rPr>
          <w:rFonts w:ascii="Book Antiqua" w:hAnsi="Book Antiqua"/>
          <w:b/>
          <w:bCs/>
        </w:rPr>
        <w:t>Al Centro de Apoyo, Coordinación y Mejoramiento de la Función Jurisdiccional</w:t>
      </w:r>
    </w:p>
    <w:p w14:paraId="5272AD7C" w14:textId="0015EFB5" w:rsidR="00347D47" w:rsidRDefault="00347D47" w:rsidP="009C259C">
      <w:pPr>
        <w:pStyle w:val="Prrafodelista"/>
        <w:numPr>
          <w:ilvl w:val="0"/>
          <w:numId w:val="3"/>
        </w:numPr>
        <w:spacing w:line="276" w:lineRule="auto"/>
        <w:jc w:val="both"/>
        <w:rPr>
          <w:rFonts w:ascii="Book Antiqua" w:hAnsi="Book Antiqua"/>
        </w:rPr>
      </w:pPr>
      <w:r w:rsidRPr="00E6689E">
        <w:rPr>
          <w:rFonts w:ascii="Book Antiqua" w:hAnsi="Book Antiqua"/>
        </w:rPr>
        <w:t>El Centro de Apoyo, Coordinación y Mejoramiento de la Función Jurisdiccional y  las Gestoras en materia de Trabajo y Civil, debe</w:t>
      </w:r>
      <w:r w:rsidR="00F368B8">
        <w:rPr>
          <w:rFonts w:ascii="Book Antiqua" w:hAnsi="Book Antiqua"/>
        </w:rPr>
        <w:t>rá continuar</w:t>
      </w:r>
      <w:r w:rsidRPr="00E6689E">
        <w:rPr>
          <w:rFonts w:ascii="Book Antiqua" w:hAnsi="Book Antiqua"/>
        </w:rPr>
        <w:t> brinda</w:t>
      </w:r>
      <w:r w:rsidR="00F368B8">
        <w:rPr>
          <w:rFonts w:ascii="Book Antiqua" w:hAnsi="Book Antiqua"/>
        </w:rPr>
        <w:t>ndo</w:t>
      </w:r>
      <w:r w:rsidRPr="00E6689E">
        <w:rPr>
          <w:rFonts w:ascii="Book Antiqua" w:hAnsi="Book Antiqua"/>
        </w:rPr>
        <w:t xml:space="preserve"> apoyo y seguimiento al desempeño de los Tribunales de Apelación Civil y Trabajo</w:t>
      </w:r>
      <w:r w:rsidR="00AB77C4">
        <w:rPr>
          <w:rFonts w:ascii="Book Antiqua" w:hAnsi="Book Antiqua"/>
        </w:rPr>
        <w:t xml:space="preserve"> (Mixto)</w:t>
      </w:r>
      <w:r w:rsidRPr="00E6689E">
        <w:rPr>
          <w:rFonts w:ascii="Book Antiqua" w:hAnsi="Book Antiqua"/>
        </w:rPr>
        <w:t xml:space="preserve"> mediante la revisión periódica de los Indicadores de Gestión, seguimiento de los planes remediales y revisión de minutas de Equipo de Mejora, del mismo modo debe</w:t>
      </w:r>
      <w:r w:rsidR="00C710FE">
        <w:rPr>
          <w:rFonts w:ascii="Book Antiqua" w:hAnsi="Book Antiqua"/>
        </w:rPr>
        <w:t>n</w:t>
      </w:r>
      <w:r w:rsidRPr="00E6689E">
        <w:rPr>
          <w:rFonts w:ascii="Book Antiqua" w:hAnsi="Book Antiqua"/>
        </w:rPr>
        <w:t xml:space="preserve"> recomendar la actualización de los rangos definidos en los indicadores de gestión, en el que indica la justificación respectiva transcurrido al menos doce meses consecutivos</w:t>
      </w:r>
      <w:r w:rsidR="00C710FE">
        <w:rPr>
          <w:rFonts w:ascii="Book Antiqua" w:hAnsi="Book Antiqua"/>
        </w:rPr>
        <w:t>, principalmente en caso de notar variaciones en la entrada de los tribunales a partir del cambio en la cuantía en materia de Trabajo vigente desde el 8 de octubre del 2020</w:t>
      </w:r>
      <w:r w:rsidRPr="00E6689E">
        <w:rPr>
          <w:rFonts w:ascii="Book Antiqua" w:hAnsi="Book Antiqua"/>
        </w:rPr>
        <w:t>. Dicho apoyo y seguimiento incorpora velar por el cumplimiento de las cuotas de trabajo descritas en este informe y las modificaciones posteriores que sean aprobadas por el Consejo Superior y Corte Plena.  </w:t>
      </w:r>
    </w:p>
    <w:p w14:paraId="2CF2AAE6" w14:textId="72D35667" w:rsidR="00646577" w:rsidRPr="00E6689E" w:rsidRDefault="002B4A30" w:rsidP="009C259C">
      <w:pPr>
        <w:pStyle w:val="Prrafodelista"/>
        <w:numPr>
          <w:ilvl w:val="0"/>
          <w:numId w:val="3"/>
        </w:numPr>
        <w:spacing w:line="276" w:lineRule="auto"/>
        <w:jc w:val="both"/>
        <w:rPr>
          <w:rFonts w:ascii="Book Antiqua" w:hAnsi="Book Antiqua"/>
        </w:rPr>
      </w:pPr>
      <w:r>
        <w:rPr>
          <w:rFonts w:ascii="Book Antiqua" w:hAnsi="Book Antiqua"/>
        </w:rPr>
        <w:t xml:space="preserve">Continuar en la prestación de la </w:t>
      </w:r>
      <w:r w:rsidR="00646577">
        <w:rPr>
          <w:rFonts w:ascii="Book Antiqua" w:hAnsi="Book Antiqua"/>
        </w:rPr>
        <w:t>colaboración a los Tribunales de Apelación que tienen una entrada de asuntos superior al parámetro de producción de 17 asuntos</w:t>
      </w:r>
      <w:r w:rsidR="00C710FE">
        <w:rPr>
          <w:rFonts w:ascii="Book Antiqua" w:hAnsi="Book Antiqua"/>
        </w:rPr>
        <w:t>, atendiendo también las recomendaciones emitidas en el informe 599-PLA-MI-2021</w:t>
      </w:r>
      <w:r w:rsidR="00646577">
        <w:rPr>
          <w:rFonts w:ascii="Book Antiqua" w:hAnsi="Book Antiqua"/>
        </w:rPr>
        <w:t>.</w:t>
      </w:r>
    </w:p>
    <w:p w14:paraId="060AC4A2" w14:textId="5CAAC742" w:rsidR="00347D47" w:rsidRPr="00995087" w:rsidRDefault="00347D47" w:rsidP="00646577">
      <w:pPr>
        <w:pStyle w:val="paragraph"/>
        <w:spacing w:before="0" w:beforeAutospacing="0" w:after="0" w:afterAutospacing="0"/>
        <w:jc w:val="both"/>
        <w:textAlignment w:val="baseline"/>
        <w:rPr>
          <w:rFonts w:ascii="Book Antiqua" w:hAnsi="Book Antiqua" w:cs="Segoe UI"/>
          <w:b/>
          <w:bCs/>
        </w:rPr>
      </w:pPr>
    </w:p>
    <w:p w14:paraId="1EAB255E" w14:textId="71C4BEB8" w:rsidR="00646577" w:rsidRPr="00995087" w:rsidRDefault="00646577" w:rsidP="00646577">
      <w:pPr>
        <w:pStyle w:val="paragraph"/>
        <w:spacing w:before="0" w:beforeAutospacing="0" w:after="0" w:afterAutospacing="0"/>
        <w:jc w:val="both"/>
        <w:textAlignment w:val="baseline"/>
        <w:rPr>
          <w:rFonts w:ascii="Book Antiqua" w:hAnsi="Book Antiqua" w:cs="Segoe UI"/>
          <w:b/>
          <w:bCs/>
        </w:rPr>
      </w:pPr>
      <w:r w:rsidRPr="00995087">
        <w:rPr>
          <w:rFonts w:ascii="Book Antiqua" w:hAnsi="Book Antiqua" w:cs="Segoe UI"/>
          <w:b/>
          <w:bCs/>
        </w:rPr>
        <w:t xml:space="preserve">A la Comisión </w:t>
      </w:r>
      <w:r w:rsidR="00C710FE" w:rsidRPr="00995087">
        <w:rPr>
          <w:rFonts w:ascii="Book Antiqua" w:hAnsi="Book Antiqua" w:cs="Segoe UI"/>
          <w:b/>
          <w:bCs/>
        </w:rPr>
        <w:t xml:space="preserve">de la Jurisdicción </w:t>
      </w:r>
      <w:r w:rsidRPr="00995087">
        <w:rPr>
          <w:rFonts w:ascii="Book Antiqua" w:hAnsi="Book Antiqua" w:cs="Segoe UI"/>
          <w:b/>
          <w:bCs/>
        </w:rPr>
        <w:t>Civil</w:t>
      </w:r>
      <w:r w:rsidR="004756EF" w:rsidRPr="00995087">
        <w:rPr>
          <w:rFonts w:ascii="Book Antiqua" w:hAnsi="Book Antiqua" w:cs="Segoe UI"/>
          <w:b/>
          <w:bCs/>
        </w:rPr>
        <w:t xml:space="preserve"> </w:t>
      </w:r>
    </w:p>
    <w:p w14:paraId="25071906" w14:textId="1C57C489" w:rsidR="004756EF" w:rsidRPr="004B6036" w:rsidRDefault="004756EF" w:rsidP="00646577">
      <w:pPr>
        <w:pStyle w:val="paragraph"/>
        <w:spacing w:before="0" w:beforeAutospacing="0" w:after="0" w:afterAutospacing="0"/>
        <w:jc w:val="both"/>
        <w:textAlignment w:val="baseline"/>
        <w:rPr>
          <w:rFonts w:ascii="Book Antiqua" w:hAnsi="Book Antiqua" w:cs="Segoe UI"/>
          <w:color w:val="000000" w:themeColor="text1"/>
        </w:rPr>
      </w:pPr>
    </w:p>
    <w:p w14:paraId="0435C1EA" w14:textId="10A50C7E" w:rsidR="00F23AC6" w:rsidRPr="00F01BD0" w:rsidRDefault="00F23AC6" w:rsidP="009C259C">
      <w:pPr>
        <w:pStyle w:val="Prrafodelista"/>
        <w:numPr>
          <w:ilvl w:val="0"/>
          <w:numId w:val="3"/>
        </w:numPr>
        <w:spacing w:line="276" w:lineRule="auto"/>
        <w:jc w:val="both"/>
        <w:rPr>
          <w:rFonts w:ascii="Book Antiqua" w:hAnsi="Book Antiqua"/>
        </w:rPr>
      </w:pPr>
      <w:r w:rsidRPr="00F01BD0">
        <w:rPr>
          <w:rFonts w:ascii="Book Antiqua" w:hAnsi="Book Antiqua"/>
        </w:rPr>
        <w:t>Validar si se</w:t>
      </w:r>
      <w:r w:rsidR="00067292" w:rsidRPr="00F01BD0">
        <w:rPr>
          <w:rFonts w:ascii="Book Antiqua" w:hAnsi="Book Antiqua"/>
        </w:rPr>
        <w:t xml:space="preserve"> debe de</w:t>
      </w:r>
      <w:r w:rsidRPr="00F01BD0">
        <w:rPr>
          <w:rFonts w:ascii="Book Antiqua" w:hAnsi="Book Antiqua"/>
        </w:rPr>
        <w:t xml:space="preserve"> man</w:t>
      </w:r>
      <w:r w:rsidR="00067292" w:rsidRPr="00F01BD0">
        <w:rPr>
          <w:rFonts w:ascii="Book Antiqua" w:hAnsi="Book Antiqua"/>
        </w:rPr>
        <w:t>tener</w:t>
      </w:r>
      <w:r w:rsidRPr="00F01BD0">
        <w:rPr>
          <w:rFonts w:ascii="Book Antiqua" w:hAnsi="Book Antiqua"/>
        </w:rPr>
        <w:t xml:space="preserve"> el plazo 30 días naturales para el dictado de sentencia de apelación de resolución interlocutoria y 90 días naturales para el dictado de segunda instancia o casación, </w:t>
      </w:r>
      <w:r w:rsidR="00067292" w:rsidRPr="00F01BD0">
        <w:rPr>
          <w:rFonts w:ascii="Book Antiqua" w:hAnsi="Book Antiqua"/>
        </w:rPr>
        <w:t xml:space="preserve">según informe 31-PLA-PI-2016 Impacto organizacional y presupuestario en el Poder Judicial a partir de la promulgación del Nuevo Código Procesal Civil, lo anterior </w:t>
      </w:r>
      <w:r w:rsidRPr="00F01BD0">
        <w:rPr>
          <w:rFonts w:ascii="Book Antiqua" w:hAnsi="Book Antiqua"/>
        </w:rPr>
        <w:t xml:space="preserve">por tratarse de un informe del 2016. </w:t>
      </w:r>
    </w:p>
    <w:p w14:paraId="3C61512E" w14:textId="0ED0DF20" w:rsidR="00021A41" w:rsidRDefault="00021A41" w:rsidP="00646577">
      <w:pPr>
        <w:pStyle w:val="paragraph"/>
        <w:spacing w:before="0" w:beforeAutospacing="0" w:after="0" w:afterAutospacing="0"/>
        <w:jc w:val="both"/>
        <w:textAlignment w:val="baseline"/>
        <w:rPr>
          <w:rFonts w:ascii="Book Antiqua" w:hAnsi="Book Antiqua" w:cs="Segoe UI"/>
          <w:b/>
          <w:bCs/>
        </w:rPr>
      </w:pPr>
      <w:r w:rsidRPr="00021A41">
        <w:rPr>
          <w:rFonts w:ascii="Book Antiqua" w:hAnsi="Book Antiqua" w:cs="Segoe UI"/>
          <w:b/>
          <w:bCs/>
        </w:rPr>
        <w:t xml:space="preserve">Dirección de </w:t>
      </w:r>
      <w:r w:rsidR="00CB40A4" w:rsidRPr="00021A41">
        <w:rPr>
          <w:rFonts w:ascii="Book Antiqua" w:hAnsi="Book Antiqua" w:cs="Segoe UI"/>
          <w:b/>
          <w:bCs/>
        </w:rPr>
        <w:t>Tecnología</w:t>
      </w:r>
      <w:r w:rsidRPr="00021A41">
        <w:rPr>
          <w:rFonts w:ascii="Book Antiqua" w:hAnsi="Book Antiqua" w:cs="Segoe UI"/>
          <w:b/>
          <w:bCs/>
        </w:rPr>
        <w:t xml:space="preserve"> de la Información en coordinación con el Equipo Gestor de la materia Laboral y Civil</w:t>
      </w:r>
    </w:p>
    <w:p w14:paraId="109D878D" w14:textId="7FCE9CB5" w:rsidR="00021A41" w:rsidRDefault="00021A41" w:rsidP="00646577">
      <w:pPr>
        <w:pStyle w:val="paragraph"/>
        <w:spacing w:before="0" w:beforeAutospacing="0" w:after="0" w:afterAutospacing="0"/>
        <w:jc w:val="both"/>
        <w:textAlignment w:val="baseline"/>
        <w:rPr>
          <w:rFonts w:ascii="Book Antiqua" w:hAnsi="Book Antiqua" w:cs="Segoe UI"/>
          <w:b/>
          <w:bCs/>
        </w:rPr>
      </w:pPr>
    </w:p>
    <w:p w14:paraId="345ECA89" w14:textId="1F97932D" w:rsidR="00021A41" w:rsidRPr="00EB031E" w:rsidRDefault="00021A41" w:rsidP="00EB031E">
      <w:pPr>
        <w:pStyle w:val="paragraph"/>
        <w:numPr>
          <w:ilvl w:val="0"/>
          <w:numId w:val="35"/>
        </w:numPr>
        <w:spacing w:before="0" w:beforeAutospacing="0" w:after="0" w:afterAutospacing="0"/>
        <w:jc w:val="both"/>
        <w:textAlignment w:val="baseline"/>
        <w:rPr>
          <w:rFonts w:ascii="Book Antiqua" w:eastAsiaTheme="minorHAnsi" w:hAnsi="Book Antiqua" w:cstheme="minorBidi"/>
          <w:sz w:val="22"/>
          <w:szCs w:val="22"/>
          <w:lang w:eastAsia="en-US"/>
        </w:rPr>
      </w:pPr>
      <w:r w:rsidRPr="00EB031E">
        <w:rPr>
          <w:rFonts w:ascii="Book Antiqua" w:eastAsiaTheme="minorHAnsi" w:hAnsi="Book Antiqua" w:cstheme="minorBidi"/>
          <w:sz w:val="22"/>
          <w:szCs w:val="22"/>
          <w:lang w:eastAsia="en-US"/>
        </w:rPr>
        <w:t xml:space="preserve">La Dirección de </w:t>
      </w:r>
      <w:r w:rsidR="00CB40A4" w:rsidRPr="00EB031E">
        <w:rPr>
          <w:rFonts w:ascii="Book Antiqua" w:eastAsiaTheme="minorHAnsi" w:hAnsi="Book Antiqua" w:cstheme="minorBidi"/>
          <w:sz w:val="22"/>
          <w:szCs w:val="22"/>
          <w:lang w:eastAsia="en-US"/>
        </w:rPr>
        <w:t>Tecnología</w:t>
      </w:r>
      <w:r w:rsidRPr="00EB031E">
        <w:rPr>
          <w:rFonts w:ascii="Book Antiqua" w:eastAsiaTheme="minorHAnsi" w:hAnsi="Book Antiqua" w:cstheme="minorBidi"/>
          <w:sz w:val="22"/>
          <w:szCs w:val="22"/>
          <w:lang w:eastAsia="en-US"/>
        </w:rPr>
        <w:t xml:space="preserve"> de la Información en coordinación con el Equipo Gestor de la materia Laboral y Civil </w:t>
      </w:r>
      <w:r w:rsidR="00E715EF">
        <w:rPr>
          <w:rFonts w:ascii="Book Antiqua" w:eastAsiaTheme="minorHAnsi" w:hAnsi="Book Antiqua" w:cstheme="minorBidi"/>
          <w:sz w:val="22"/>
          <w:szCs w:val="22"/>
          <w:lang w:eastAsia="en-US"/>
        </w:rPr>
        <w:t xml:space="preserve">deben analizar la viabilidad de </w:t>
      </w:r>
      <w:r w:rsidR="00CB40A4">
        <w:rPr>
          <w:rFonts w:ascii="Book Antiqua" w:eastAsiaTheme="minorHAnsi" w:hAnsi="Book Antiqua" w:cstheme="minorBidi"/>
          <w:sz w:val="22"/>
          <w:szCs w:val="22"/>
          <w:lang w:eastAsia="en-US"/>
        </w:rPr>
        <w:t xml:space="preserve">configurar </w:t>
      </w:r>
      <w:r w:rsidR="00CB40A4" w:rsidRPr="00EB031E">
        <w:rPr>
          <w:rFonts w:ascii="Book Antiqua" w:eastAsiaTheme="minorHAnsi" w:hAnsi="Book Antiqua" w:cstheme="minorBidi"/>
          <w:sz w:val="22"/>
          <w:szCs w:val="22"/>
          <w:lang w:eastAsia="en-US"/>
        </w:rPr>
        <w:t>el</w:t>
      </w:r>
      <w:r w:rsidRPr="00EB031E">
        <w:rPr>
          <w:rFonts w:ascii="Book Antiqua" w:eastAsiaTheme="minorHAnsi" w:hAnsi="Book Antiqua" w:cstheme="minorBidi"/>
          <w:sz w:val="22"/>
          <w:szCs w:val="22"/>
          <w:lang w:eastAsia="en-US"/>
        </w:rPr>
        <w:t xml:space="preserve"> reparto </w:t>
      </w:r>
      <w:r w:rsidR="00E715EF">
        <w:rPr>
          <w:rFonts w:ascii="Book Antiqua" w:eastAsiaTheme="minorHAnsi" w:hAnsi="Book Antiqua" w:cstheme="minorBidi"/>
          <w:sz w:val="22"/>
          <w:szCs w:val="22"/>
          <w:lang w:eastAsia="en-US"/>
        </w:rPr>
        <w:t>automático</w:t>
      </w:r>
      <w:r w:rsidRPr="00EB031E">
        <w:rPr>
          <w:rFonts w:ascii="Book Antiqua" w:eastAsiaTheme="minorHAnsi" w:hAnsi="Book Antiqua" w:cstheme="minorBidi"/>
          <w:sz w:val="22"/>
          <w:szCs w:val="22"/>
          <w:lang w:eastAsia="en-US"/>
        </w:rPr>
        <w:t xml:space="preserve"> por tipo de proceso </w:t>
      </w:r>
      <w:r w:rsidR="00433190">
        <w:rPr>
          <w:rFonts w:ascii="Book Antiqua" w:eastAsiaTheme="minorHAnsi" w:hAnsi="Book Antiqua" w:cstheme="minorBidi"/>
          <w:sz w:val="22"/>
          <w:szCs w:val="22"/>
          <w:lang w:eastAsia="en-US"/>
        </w:rPr>
        <w:t>e</w:t>
      </w:r>
      <w:r w:rsidRPr="00EB031E">
        <w:rPr>
          <w:rFonts w:ascii="Book Antiqua" w:eastAsiaTheme="minorHAnsi" w:hAnsi="Book Antiqua" w:cstheme="minorBidi"/>
          <w:sz w:val="22"/>
          <w:szCs w:val="22"/>
          <w:lang w:eastAsia="en-US"/>
        </w:rPr>
        <w:t xml:space="preserve"> </w:t>
      </w:r>
      <w:r w:rsidR="00E715EF">
        <w:rPr>
          <w:rFonts w:ascii="Book Antiqua" w:eastAsiaTheme="minorHAnsi" w:hAnsi="Book Antiqua" w:cstheme="minorBidi"/>
          <w:sz w:val="22"/>
          <w:szCs w:val="22"/>
          <w:lang w:eastAsia="en-US"/>
        </w:rPr>
        <w:t>idoneidad</w:t>
      </w:r>
      <w:r w:rsidR="00433190">
        <w:rPr>
          <w:rFonts w:ascii="Book Antiqua" w:eastAsiaTheme="minorHAnsi" w:hAnsi="Book Antiqua" w:cstheme="minorBidi"/>
          <w:sz w:val="22"/>
          <w:szCs w:val="22"/>
          <w:lang w:eastAsia="en-US"/>
        </w:rPr>
        <w:t xml:space="preserve"> </w:t>
      </w:r>
      <w:r w:rsidRPr="00EB031E">
        <w:rPr>
          <w:rFonts w:ascii="Book Antiqua" w:eastAsiaTheme="minorHAnsi" w:hAnsi="Book Antiqua" w:cstheme="minorBidi"/>
          <w:sz w:val="22"/>
          <w:szCs w:val="22"/>
          <w:lang w:eastAsia="en-US"/>
        </w:rPr>
        <w:t>de un reparto por tipo de apelación (interlocutoria o de sentencia) u otra variable que se considere de relevancia, esto con la finalidad de que el reparto se defina de manera óptima.</w:t>
      </w:r>
    </w:p>
    <w:p w14:paraId="3667B551" w14:textId="77777777" w:rsidR="00021A41" w:rsidRDefault="00021A41" w:rsidP="00646577">
      <w:pPr>
        <w:pStyle w:val="paragraph"/>
        <w:spacing w:before="0" w:beforeAutospacing="0" w:after="0" w:afterAutospacing="0"/>
        <w:jc w:val="both"/>
        <w:textAlignment w:val="baseline"/>
        <w:rPr>
          <w:rFonts w:ascii="Book Antiqua" w:hAnsi="Book Antiqua" w:cs="Segoe UI"/>
          <w:b/>
          <w:bCs/>
        </w:rPr>
      </w:pPr>
    </w:p>
    <w:p w14:paraId="0B79A69F" w14:textId="66895435" w:rsidR="004756EF" w:rsidRPr="00EB031E" w:rsidRDefault="00021A41" w:rsidP="00646577">
      <w:pPr>
        <w:pStyle w:val="paragraph"/>
        <w:spacing w:before="0" w:beforeAutospacing="0" w:after="0" w:afterAutospacing="0"/>
        <w:jc w:val="both"/>
        <w:textAlignment w:val="baseline"/>
        <w:rPr>
          <w:rFonts w:ascii="Book Antiqua" w:hAnsi="Book Antiqua" w:cs="Segoe UI"/>
          <w:b/>
          <w:bCs/>
        </w:rPr>
      </w:pPr>
      <w:r w:rsidRPr="00EB031E">
        <w:rPr>
          <w:rFonts w:ascii="Book Antiqua" w:hAnsi="Book Antiqua" w:cs="Segoe UI"/>
          <w:b/>
          <w:bCs/>
        </w:rPr>
        <w:t xml:space="preserve">Equipo Gestor de la materia Civil y </w:t>
      </w:r>
      <w:r w:rsidR="00CC095B" w:rsidRPr="005C1BD4">
        <w:rPr>
          <w:rFonts w:ascii="Book Antiqua" w:hAnsi="Book Antiqua" w:cs="Segoe UI"/>
          <w:b/>
          <w:bCs/>
        </w:rPr>
        <w:t xml:space="preserve">Equipo Gestor </w:t>
      </w:r>
      <w:r w:rsidR="00CC095B">
        <w:rPr>
          <w:rFonts w:ascii="Book Antiqua" w:hAnsi="Book Antiqua" w:cs="Segoe UI"/>
          <w:b/>
          <w:bCs/>
        </w:rPr>
        <w:t xml:space="preserve">de materia </w:t>
      </w:r>
      <w:r w:rsidRPr="00EB031E">
        <w:rPr>
          <w:rFonts w:ascii="Book Antiqua" w:hAnsi="Book Antiqua" w:cs="Segoe UI"/>
          <w:b/>
          <w:bCs/>
        </w:rPr>
        <w:t>Laboral</w:t>
      </w:r>
    </w:p>
    <w:p w14:paraId="7F7511F6" w14:textId="493F1549" w:rsidR="00021A41" w:rsidRDefault="00021A41" w:rsidP="00646577">
      <w:pPr>
        <w:pStyle w:val="paragraph"/>
        <w:spacing w:before="0" w:beforeAutospacing="0" w:after="0" w:afterAutospacing="0"/>
        <w:jc w:val="both"/>
        <w:textAlignment w:val="baseline"/>
        <w:rPr>
          <w:rFonts w:ascii="Book Antiqua" w:hAnsi="Book Antiqua" w:cs="Segoe UI"/>
        </w:rPr>
      </w:pPr>
    </w:p>
    <w:p w14:paraId="1420625F" w14:textId="712AC7EF" w:rsidR="00021A41" w:rsidRPr="00EB031E" w:rsidRDefault="00CC095B" w:rsidP="00EB031E">
      <w:pPr>
        <w:pStyle w:val="paragraph"/>
        <w:numPr>
          <w:ilvl w:val="0"/>
          <w:numId w:val="35"/>
        </w:numPr>
        <w:spacing w:before="0" w:beforeAutospacing="0" w:after="0" w:afterAutospacing="0"/>
        <w:jc w:val="both"/>
        <w:textAlignment w:val="baseline"/>
        <w:rPr>
          <w:rFonts w:ascii="Book Antiqua" w:eastAsiaTheme="minorHAnsi" w:hAnsi="Book Antiqua" w:cstheme="minorBidi"/>
          <w:sz w:val="22"/>
          <w:szCs w:val="22"/>
          <w:lang w:eastAsia="en-US"/>
        </w:rPr>
      </w:pPr>
      <w:r w:rsidRPr="00EB031E">
        <w:rPr>
          <w:rFonts w:ascii="Book Antiqua" w:eastAsiaTheme="minorHAnsi" w:hAnsi="Book Antiqua" w:cstheme="minorBidi"/>
          <w:sz w:val="22"/>
          <w:szCs w:val="22"/>
          <w:lang w:eastAsia="en-US"/>
        </w:rPr>
        <w:t xml:space="preserve">Valorar la viabilidad de la implementación de la mejora de pase a fallo en los Tribunales de Apelación Civil y Laboral, en este caso se deberá de analizar las tareas a utilizar, </w:t>
      </w:r>
      <w:r w:rsidR="00E715EF">
        <w:rPr>
          <w:rFonts w:ascii="Book Antiqua" w:eastAsiaTheme="minorHAnsi" w:hAnsi="Book Antiqua" w:cstheme="minorBidi"/>
          <w:sz w:val="22"/>
          <w:szCs w:val="22"/>
          <w:lang w:eastAsia="en-US"/>
        </w:rPr>
        <w:t xml:space="preserve">plazos, </w:t>
      </w:r>
      <w:r w:rsidRPr="00EB031E">
        <w:rPr>
          <w:rFonts w:ascii="Book Antiqua" w:eastAsiaTheme="minorHAnsi" w:hAnsi="Book Antiqua" w:cstheme="minorBidi"/>
          <w:sz w:val="22"/>
          <w:szCs w:val="22"/>
          <w:lang w:eastAsia="en-US"/>
        </w:rPr>
        <w:t>así como en qué momento se deberá de utilizar la mejora.</w:t>
      </w:r>
    </w:p>
    <w:p w14:paraId="103F8DC8" w14:textId="712EF71D" w:rsidR="004756EF" w:rsidRDefault="004756EF" w:rsidP="00646577">
      <w:pPr>
        <w:pStyle w:val="paragraph"/>
        <w:spacing w:before="0" w:beforeAutospacing="0" w:after="0" w:afterAutospacing="0"/>
        <w:jc w:val="both"/>
        <w:textAlignment w:val="baseline"/>
        <w:rPr>
          <w:rFonts w:ascii="Book Antiqua" w:hAnsi="Book Antiqua" w:cs="Segoe UI"/>
        </w:rPr>
      </w:pPr>
    </w:p>
    <w:p w14:paraId="31CAFBFD" w14:textId="77FA5B0F" w:rsidR="00AF0E2F" w:rsidRDefault="00AF0E2F">
      <w:pPr>
        <w:rPr>
          <w:rFonts w:ascii="Book Antiqua" w:eastAsia="Times New Roman" w:hAnsi="Book Antiqua" w:cs="Segoe UI"/>
          <w:sz w:val="24"/>
          <w:szCs w:val="24"/>
          <w:lang w:eastAsia="es-CR"/>
        </w:rPr>
      </w:pPr>
      <w:r>
        <w:rPr>
          <w:rFonts w:ascii="Book Antiqua" w:hAnsi="Book Antiqua" w:cs="Segoe UI"/>
        </w:rPr>
        <w:br w:type="page"/>
      </w:r>
    </w:p>
    <w:p w14:paraId="5A844CDA" w14:textId="77777777" w:rsidR="004756EF" w:rsidRDefault="004756EF" w:rsidP="00646577">
      <w:pPr>
        <w:pStyle w:val="paragraph"/>
        <w:spacing w:before="0" w:beforeAutospacing="0" w:after="0" w:afterAutospacing="0"/>
        <w:jc w:val="both"/>
        <w:textAlignment w:val="baseline"/>
        <w:rPr>
          <w:rFonts w:ascii="Book Antiqua" w:hAnsi="Book Antiqua" w:cs="Segoe UI"/>
        </w:rPr>
      </w:pPr>
    </w:p>
    <w:p w14:paraId="412347FF" w14:textId="77777777" w:rsidR="00B979AE" w:rsidRPr="00410ED4" w:rsidRDefault="00B979AE" w:rsidP="00D611CE">
      <w:pPr>
        <w:pStyle w:val="Ttulo2"/>
      </w:pPr>
      <w:r w:rsidRPr="00410ED4">
        <w:t>Anexos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427"/>
        <w:gridCol w:w="3803"/>
        <w:gridCol w:w="3578"/>
      </w:tblGrid>
      <w:tr w:rsidR="00B979AE" w:rsidRPr="00410ED4" w14:paraId="282F8E96" w14:textId="77777777" w:rsidTr="001A7BEA">
        <w:trPr>
          <w:tblCellSpacing w:w="1440" w:type="nil"/>
        </w:trPr>
        <w:tc>
          <w:tcPr>
            <w:tcW w:w="810" w:type="pct"/>
            <w:tcBorders>
              <w:left w:val="double" w:sz="4" w:space="0" w:color="1F497D" w:themeColor="text2"/>
              <w:bottom w:val="double" w:sz="4" w:space="0" w:color="44546A"/>
              <w:right w:val="double" w:sz="4" w:space="0" w:color="1F497D" w:themeColor="text2"/>
            </w:tcBorders>
            <w:shd w:val="clear" w:color="auto" w:fill="365F91"/>
            <w:vAlign w:val="center"/>
          </w:tcPr>
          <w:p w14:paraId="018DCEF8" w14:textId="13BD2755" w:rsidR="00B979AE" w:rsidRPr="00410ED4" w:rsidRDefault="00B979AE" w:rsidP="00B979AE">
            <w:pPr>
              <w:jc w:val="center"/>
              <w:rPr>
                <w:rFonts w:ascii="Book Antiqua" w:hAnsi="Book Antiqua"/>
                <w:b/>
                <w:color w:val="FFFFFF"/>
              </w:rPr>
            </w:pPr>
            <w:r w:rsidRPr="00410ED4">
              <w:rPr>
                <w:rFonts w:ascii="Book Antiqua" w:hAnsi="Book Antiqua"/>
                <w:b/>
                <w:color w:val="FFFFFF"/>
              </w:rPr>
              <w:t>Anexo</w:t>
            </w:r>
          </w:p>
        </w:tc>
        <w:tc>
          <w:tcPr>
            <w:tcW w:w="2159" w:type="pct"/>
            <w:tcBorders>
              <w:left w:val="double" w:sz="4" w:space="0" w:color="1F497D" w:themeColor="text2"/>
              <w:bottom w:val="double" w:sz="4" w:space="0" w:color="44546A"/>
              <w:right w:val="double" w:sz="4" w:space="0" w:color="1F497D" w:themeColor="text2"/>
            </w:tcBorders>
            <w:shd w:val="clear" w:color="auto" w:fill="365F91"/>
            <w:vAlign w:val="center"/>
          </w:tcPr>
          <w:p w14:paraId="38499E97" w14:textId="77777777" w:rsidR="00B979AE" w:rsidRPr="00410ED4" w:rsidRDefault="00B979AE" w:rsidP="00B979AE">
            <w:pPr>
              <w:jc w:val="center"/>
              <w:rPr>
                <w:rFonts w:ascii="Book Antiqua" w:hAnsi="Book Antiqua"/>
                <w:b/>
                <w:color w:val="FFFFFF"/>
              </w:rPr>
            </w:pPr>
            <w:r w:rsidRPr="00410ED4">
              <w:rPr>
                <w:rFonts w:ascii="Book Antiqua" w:hAnsi="Book Antiqua"/>
                <w:b/>
                <w:color w:val="FFFFFF"/>
              </w:rPr>
              <w:t>Nombre</w:t>
            </w:r>
          </w:p>
        </w:tc>
        <w:tc>
          <w:tcPr>
            <w:tcW w:w="2031" w:type="pct"/>
            <w:tcBorders>
              <w:left w:val="double" w:sz="4" w:space="0" w:color="1F497D" w:themeColor="text2"/>
              <w:bottom w:val="double" w:sz="4" w:space="0" w:color="44546A"/>
              <w:right w:val="double" w:sz="4" w:space="0" w:color="1F497D" w:themeColor="text2"/>
            </w:tcBorders>
            <w:shd w:val="clear" w:color="auto" w:fill="365F91"/>
            <w:vAlign w:val="center"/>
          </w:tcPr>
          <w:p w14:paraId="7B55DDEC" w14:textId="77777777" w:rsidR="00B979AE" w:rsidRPr="00410ED4" w:rsidRDefault="00B979AE" w:rsidP="00B979AE">
            <w:pPr>
              <w:jc w:val="center"/>
              <w:rPr>
                <w:rFonts w:ascii="Book Antiqua" w:hAnsi="Book Antiqua"/>
                <w:b/>
                <w:color w:val="FFFFFF"/>
              </w:rPr>
            </w:pPr>
            <w:r w:rsidRPr="00410ED4">
              <w:rPr>
                <w:rFonts w:ascii="Book Antiqua" w:hAnsi="Book Antiqua"/>
                <w:b/>
                <w:color w:val="FFFFFF"/>
              </w:rPr>
              <w:t>Documento</w:t>
            </w:r>
          </w:p>
        </w:tc>
      </w:tr>
      <w:tr w:rsidR="00B979AE" w:rsidRPr="00410ED4" w14:paraId="0DCD5E1F" w14:textId="77777777" w:rsidTr="001A7BEA">
        <w:trPr>
          <w:tblCellSpacing w:w="1440" w:type="nil"/>
        </w:trPr>
        <w:tc>
          <w:tcPr>
            <w:tcW w:w="810" w:type="pct"/>
            <w:tcBorders>
              <w:top w:val="double" w:sz="4" w:space="0" w:color="44546A"/>
              <w:left w:val="double" w:sz="4" w:space="0" w:color="1F497D" w:themeColor="text2"/>
              <w:bottom w:val="double" w:sz="4" w:space="0" w:color="1F497D" w:themeColor="text2"/>
              <w:right w:val="double" w:sz="4" w:space="0" w:color="1F497D" w:themeColor="text2"/>
            </w:tcBorders>
            <w:shd w:val="clear" w:color="auto" w:fill="auto"/>
            <w:vAlign w:val="center"/>
          </w:tcPr>
          <w:p w14:paraId="437DE10A" w14:textId="77777777" w:rsidR="00B979AE" w:rsidRPr="00410ED4" w:rsidRDefault="00B979AE" w:rsidP="00B979AE">
            <w:pPr>
              <w:jc w:val="center"/>
              <w:rPr>
                <w:rFonts w:ascii="Book Antiqua" w:hAnsi="Book Antiqua"/>
                <w:b/>
                <w:i/>
                <w:color w:val="000000"/>
              </w:rPr>
            </w:pPr>
            <w:r w:rsidRPr="00410ED4">
              <w:rPr>
                <w:rFonts w:ascii="Book Antiqua" w:hAnsi="Book Antiqua"/>
                <w:b/>
                <w:i/>
                <w:color w:val="000000"/>
              </w:rPr>
              <w:t>Anexo 1</w:t>
            </w:r>
          </w:p>
        </w:tc>
        <w:tc>
          <w:tcPr>
            <w:tcW w:w="2159" w:type="pct"/>
            <w:tcBorders>
              <w:top w:val="double" w:sz="4" w:space="0" w:color="44546A"/>
              <w:left w:val="double" w:sz="4" w:space="0" w:color="1F497D" w:themeColor="text2"/>
              <w:bottom w:val="double" w:sz="4" w:space="0" w:color="1F497D" w:themeColor="text2"/>
              <w:right w:val="double" w:sz="4" w:space="0" w:color="1F497D" w:themeColor="text2"/>
            </w:tcBorders>
            <w:shd w:val="clear" w:color="auto" w:fill="auto"/>
            <w:vAlign w:val="center"/>
          </w:tcPr>
          <w:p w14:paraId="4F2F2096" w14:textId="77777777" w:rsidR="00B979AE" w:rsidRPr="00410ED4" w:rsidRDefault="00B979AE" w:rsidP="00B979AE">
            <w:pPr>
              <w:jc w:val="center"/>
              <w:rPr>
                <w:rFonts w:ascii="Book Antiqua" w:hAnsi="Book Antiqua"/>
                <w:color w:val="000000" w:themeColor="text1"/>
              </w:rPr>
            </w:pPr>
            <w:r w:rsidRPr="00410ED4">
              <w:rPr>
                <w:rFonts w:ascii="Book Antiqua" w:hAnsi="Book Antiqua" w:cs="Arial"/>
                <w:color w:val="000000" w:themeColor="text1"/>
              </w:rPr>
              <w:t>Circular de Secretaría de la Corte N° 033 - 2013</w:t>
            </w:r>
          </w:p>
        </w:tc>
        <w:bookmarkStart w:id="13" w:name="_MON_1686123376"/>
        <w:bookmarkEnd w:id="13"/>
        <w:tc>
          <w:tcPr>
            <w:tcW w:w="2031" w:type="pct"/>
            <w:tcBorders>
              <w:top w:val="double" w:sz="4" w:space="0" w:color="44546A"/>
              <w:left w:val="double" w:sz="4" w:space="0" w:color="1F497D" w:themeColor="text2"/>
              <w:bottom w:val="double" w:sz="4" w:space="0" w:color="1F497D" w:themeColor="text2"/>
              <w:right w:val="double" w:sz="4" w:space="0" w:color="1F497D" w:themeColor="text2"/>
            </w:tcBorders>
            <w:shd w:val="clear" w:color="auto" w:fill="auto"/>
            <w:vAlign w:val="center"/>
          </w:tcPr>
          <w:p w14:paraId="5E02002B" w14:textId="77777777" w:rsidR="00B979AE" w:rsidRPr="00410ED4" w:rsidRDefault="00B979AE" w:rsidP="00446B06">
            <w:pPr>
              <w:jc w:val="center"/>
              <w:rPr>
                <w:rFonts w:ascii="Book Antiqua" w:hAnsi="Book Antiqua"/>
              </w:rPr>
            </w:pPr>
            <w:r w:rsidRPr="00410ED4">
              <w:rPr>
                <w:rFonts w:ascii="Book Antiqua" w:hAnsi="Book Antiqua"/>
              </w:rPr>
              <w:object w:dxaOrig="1513" w:dyaOrig="984" w14:anchorId="0D1C68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in;height:46.15pt" o:ole="">
                  <v:imagedata r:id="rId24" o:title=""/>
                </v:shape>
                <o:OLEObject Type="Embed" ProgID="Word.Document.12" ShapeID="_x0000_i1026" DrawAspect="Icon" ObjectID="_1700915690" r:id="rId25">
                  <o:FieldCodes>\s</o:FieldCodes>
                </o:OLEObject>
              </w:object>
            </w:r>
          </w:p>
        </w:tc>
      </w:tr>
      <w:tr w:rsidR="008D6451" w:rsidRPr="00410ED4" w14:paraId="0C344D4C" w14:textId="77777777" w:rsidTr="001A7BEA">
        <w:trPr>
          <w:tblCellSpacing w:w="1440" w:type="nil"/>
        </w:trPr>
        <w:tc>
          <w:tcPr>
            <w:tcW w:w="810"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13808CF4" w14:textId="5A9AB607" w:rsidR="008D6451" w:rsidRPr="00410ED4" w:rsidRDefault="008D6451" w:rsidP="008D6451">
            <w:pPr>
              <w:jc w:val="center"/>
              <w:rPr>
                <w:rFonts w:ascii="Book Antiqua" w:hAnsi="Book Antiqua"/>
                <w:b/>
                <w:i/>
                <w:color w:val="000000"/>
              </w:rPr>
            </w:pPr>
            <w:r w:rsidRPr="00410ED4">
              <w:rPr>
                <w:rFonts w:ascii="Book Antiqua" w:hAnsi="Book Antiqua"/>
                <w:b/>
                <w:i/>
                <w:color w:val="000000"/>
              </w:rPr>
              <w:t xml:space="preserve">Anexo </w:t>
            </w:r>
            <w:r>
              <w:rPr>
                <w:rFonts w:ascii="Book Antiqua" w:hAnsi="Book Antiqua"/>
                <w:b/>
                <w:i/>
                <w:color w:val="000000"/>
              </w:rPr>
              <w:t>2</w:t>
            </w:r>
          </w:p>
        </w:tc>
        <w:tc>
          <w:tcPr>
            <w:tcW w:w="2159"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45AC2D3B" w14:textId="7C4615B0" w:rsidR="008D6451" w:rsidRPr="00410ED4" w:rsidRDefault="008D6451" w:rsidP="008D6451">
            <w:pPr>
              <w:jc w:val="center"/>
              <w:rPr>
                <w:rFonts w:ascii="Book Antiqua" w:hAnsi="Book Antiqua"/>
              </w:rPr>
            </w:pPr>
            <w:r>
              <w:rPr>
                <w:rFonts w:ascii="Book Antiqua" w:hAnsi="Book Antiqua"/>
              </w:rPr>
              <w:t xml:space="preserve">Seguimientos realizados por el Modelo de Sostenibilidad en el Tribunal de Apelación Civil y Laboral del Primer Circuito Judicial de Alajuela </w:t>
            </w:r>
          </w:p>
        </w:tc>
        <w:tc>
          <w:tcPr>
            <w:tcW w:w="2031"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7E8B8F72" w14:textId="080D7733" w:rsidR="008D6451" w:rsidRDefault="008D6451" w:rsidP="00671A11">
            <w:pPr>
              <w:widowControl w:val="0"/>
              <w:autoSpaceDE w:val="0"/>
              <w:autoSpaceDN w:val="0"/>
              <w:adjustRightInd w:val="0"/>
              <w:spacing w:after="0" w:line="276" w:lineRule="auto"/>
              <w:ind w:right="49"/>
              <w:jc w:val="center"/>
              <w:rPr>
                <w:rFonts w:ascii="Book Antiqua" w:hAnsi="Book Antiqua"/>
              </w:rPr>
            </w:pPr>
            <w:bookmarkStart w:id="14" w:name="_MON_1679827877"/>
            <w:bookmarkEnd w:id="14"/>
          </w:p>
          <w:bookmarkStart w:id="15" w:name="_MON_1686137346"/>
          <w:bookmarkEnd w:id="15"/>
          <w:p w14:paraId="303A4CFF" w14:textId="09DB9871" w:rsidR="00FB7663" w:rsidRDefault="00FB7663" w:rsidP="00671A11">
            <w:pPr>
              <w:widowControl w:val="0"/>
              <w:autoSpaceDE w:val="0"/>
              <w:autoSpaceDN w:val="0"/>
              <w:adjustRightInd w:val="0"/>
              <w:spacing w:after="0" w:line="276" w:lineRule="auto"/>
              <w:ind w:right="49"/>
              <w:jc w:val="center"/>
              <w:rPr>
                <w:rFonts w:ascii="Book Antiqua" w:hAnsi="Book Antiqua"/>
              </w:rPr>
            </w:pPr>
            <w:r>
              <w:rPr>
                <w:rFonts w:ascii="Book Antiqua" w:hAnsi="Book Antiqua"/>
              </w:rPr>
              <w:object w:dxaOrig="1543" w:dyaOrig="1000" w14:anchorId="4873E9BD">
                <v:shape id="_x0000_i1027" type="#_x0000_t75" style="width:77.55pt;height:51.7pt" o:ole="">
                  <v:imagedata r:id="rId26" o:title=""/>
                </v:shape>
                <o:OLEObject Type="Embed" ProgID="Word.Document.8" ShapeID="_x0000_i1027" DrawAspect="Icon" ObjectID="_1700915691" r:id="rId27">
                  <o:FieldCodes>\s</o:FieldCodes>
                </o:OLEObject>
              </w:object>
            </w:r>
          </w:p>
          <w:p w14:paraId="4B0AF536" w14:textId="77777777" w:rsidR="008D6451" w:rsidRDefault="008D6451" w:rsidP="00671A11">
            <w:pPr>
              <w:widowControl w:val="0"/>
              <w:autoSpaceDE w:val="0"/>
              <w:autoSpaceDN w:val="0"/>
              <w:adjustRightInd w:val="0"/>
              <w:spacing w:after="0" w:line="276" w:lineRule="auto"/>
              <w:ind w:right="49"/>
              <w:jc w:val="center"/>
              <w:rPr>
                <w:rFonts w:ascii="Book Antiqua" w:hAnsi="Book Antiqua"/>
              </w:rPr>
            </w:pPr>
          </w:p>
          <w:bookmarkStart w:id="16" w:name="_MON_1686137499"/>
          <w:bookmarkEnd w:id="16"/>
          <w:p w14:paraId="7E6DE890" w14:textId="6109DB21" w:rsidR="008D6451" w:rsidRDefault="00287046" w:rsidP="00671A11">
            <w:pPr>
              <w:widowControl w:val="0"/>
              <w:autoSpaceDE w:val="0"/>
              <w:autoSpaceDN w:val="0"/>
              <w:adjustRightInd w:val="0"/>
              <w:spacing w:after="0" w:line="276" w:lineRule="auto"/>
              <w:ind w:right="49"/>
              <w:jc w:val="center"/>
              <w:rPr>
                <w:rFonts w:ascii="Book Antiqua" w:hAnsi="Book Antiqua"/>
              </w:rPr>
            </w:pPr>
            <w:r>
              <w:rPr>
                <w:rFonts w:ascii="Book Antiqua" w:hAnsi="Book Antiqua"/>
              </w:rPr>
              <w:object w:dxaOrig="1543" w:dyaOrig="1000" w14:anchorId="52287A85">
                <v:shape id="_x0000_i1028" type="#_x0000_t75" style="width:77.55pt;height:51.7pt" o:ole="">
                  <v:imagedata r:id="rId28" o:title=""/>
                </v:shape>
                <o:OLEObject Type="Embed" ProgID="Word.Document.12" ShapeID="_x0000_i1028" DrawAspect="Icon" ObjectID="_1700915692" r:id="rId29">
                  <o:FieldCodes>\s</o:FieldCodes>
                </o:OLEObject>
              </w:object>
            </w:r>
          </w:p>
          <w:bookmarkStart w:id="17" w:name="_MON_1679827955"/>
          <w:bookmarkEnd w:id="17"/>
          <w:bookmarkStart w:id="18" w:name="_MON_1686137390"/>
          <w:bookmarkEnd w:id="18"/>
          <w:p w14:paraId="4D3B479A" w14:textId="6008F8DC" w:rsidR="00FB7663" w:rsidRPr="007E03EF" w:rsidRDefault="00FB7663" w:rsidP="00671A11">
            <w:pPr>
              <w:widowControl w:val="0"/>
              <w:autoSpaceDE w:val="0"/>
              <w:autoSpaceDN w:val="0"/>
              <w:adjustRightInd w:val="0"/>
              <w:spacing w:after="0" w:line="276" w:lineRule="auto"/>
              <w:ind w:right="49"/>
              <w:jc w:val="center"/>
              <w:rPr>
                <w:rFonts w:ascii="Book Antiqua" w:hAnsi="Book Antiqua"/>
              </w:rPr>
            </w:pPr>
            <w:r>
              <w:rPr>
                <w:rFonts w:ascii="Book Antiqua" w:hAnsi="Book Antiqua"/>
              </w:rPr>
              <w:object w:dxaOrig="1543" w:dyaOrig="1000" w14:anchorId="533FF0F4">
                <v:shape id="_x0000_i1029" type="#_x0000_t75" style="width:77.55pt;height:51.7pt" o:ole="">
                  <v:imagedata r:id="rId30" o:title=""/>
                </v:shape>
                <o:OLEObject Type="Embed" ProgID="Word.Document.8" ShapeID="_x0000_i1029" DrawAspect="Icon" ObjectID="_1700915693" r:id="rId31">
                  <o:FieldCodes>\s</o:FieldCodes>
                </o:OLEObject>
              </w:object>
            </w:r>
          </w:p>
          <w:bookmarkStart w:id="19" w:name="_MON_1679827987"/>
          <w:bookmarkEnd w:id="19"/>
          <w:bookmarkStart w:id="20" w:name="_MON_1686137457"/>
          <w:bookmarkEnd w:id="20"/>
          <w:p w14:paraId="37AE3A03" w14:textId="4EAA1BCF" w:rsidR="00287046" w:rsidRPr="007E03EF" w:rsidRDefault="00287046" w:rsidP="00671A11">
            <w:pPr>
              <w:jc w:val="center"/>
              <w:rPr>
                <w:rFonts w:ascii="Times New Roman" w:hAnsi="Times New Roman" w:cs="Times New Roman"/>
                <w:color w:val="000000" w:themeColor="text1"/>
              </w:rPr>
            </w:pPr>
            <w:r>
              <w:rPr>
                <w:rFonts w:ascii="Times New Roman" w:hAnsi="Times New Roman" w:cs="Times New Roman"/>
                <w:color w:val="000000" w:themeColor="text1"/>
              </w:rPr>
              <w:object w:dxaOrig="1543" w:dyaOrig="1000" w14:anchorId="6EF9A1BF">
                <v:shape id="_x0000_i1030" type="#_x0000_t75" style="width:77.55pt;height:51.7pt" o:ole="">
                  <v:imagedata r:id="rId32" o:title=""/>
                </v:shape>
                <o:OLEObject Type="Embed" ProgID="Word.Document.8" ShapeID="_x0000_i1030" DrawAspect="Icon" ObjectID="_1700915694" r:id="rId33">
                  <o:FieldCodes>\s</o:FieldCodes>
                </o:OLEObject>
              </w:object>
            </w:r>
          </w:p>
          <w:p w14:paraId="794FF9EF" w14:textId="4AB1E4A3" w:rsidR="008D6451" w:rsidRPr="00410ED4" w:rsidRDefault="008D6451" w:rsidP="00446B06">
            <w:pPr>
              <w:jc w:val="center"/>
              <w:rPr>
                <w:rFonts w:ascii="Book Antiqua" w:hAnsi="Book Antiqua"/>
              </w:rPr>
            </w:pPr>
          </w:p>
        </w:tc>
      </w:tr>
      <w:tr w:rsidR="008D6451" w:rsidRPr="00410ED4" w14:paraId="5E36FD5C" w14:textId="77777777" w:rsidTr="001A7BEA">
        <w:trPr>
          <w:tblCellSpacing w:w="1440" w:type="nil"/>
        </w:trPr>
        <w:tc>
          <w:tcPr>
            <w:tcW w:w="810"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0F32B126" w14:textId="7DF8FF19" w:rsidR="008D6451" w:rsidRDefault="008D6451" w:rsidP="008D6451">
            <w:pPr>
              <w:jc w:val="center"/>
              <w:rPr>
                <w:rFonts w:ascii="Book Antiqua" w:hAnsi="Book Antiqua"/>
                <w:b/>
                <w:i/>
                <w:color w:val="000000"/>
              </w:rPr>
            </w:pPr>
            <w:r w:rsidRPr="00410ED4">
              <w:rPr>
                <w:rFonts w:ascii="Book Antiqua" w:hAnsi="Book Antiqua"/>
                <w:b/>
                <w:i/>
                <w:color w:val="000000"/>
              </w:rPr>
              <w:t xml:space="preserve">Anexo </w:t>
            </w:r>
            <w:r>
              <w:rPr>
                <w:rFonts w:ascii="Book Antiqua" w:hAnsi="Book Antiqua"/>
                <w:b/>
                <w:i/>
                <w:color w:val="000000"/>
              </w:rPr>
              <w:t>3</w:t>
            </w:r>
          </w:p>
        </w:tc>
        <w:tc>
          <w:tcPr>
            <w:tcW w:w="2159"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26C2B50E" w14:textId="3DD6346A" w:rsidR="008D6451" w:rsidRPr="00221400" w:rsidRDefault="008D6451" w:rsidP="008D6451">
            <w:pPr>
              <w:jc w:val="center"/>
              <w:rPr>
                <w:rFonts w:ascii="Book Antiqua" w:hAnsi="Book Antiqua"/>
              </w:rPr>
            </w:pPr>
            <w:r>
              <w:rPr>
                <w:rFonts w:ascii="Book Antiqua" w:hAnsi="Book Antiqua"/>
              </w:rPr>
              <w:t>Correo electrónico que evidencia la utilización de la Tejedora Tribunal de Apelación Civil y Laboral de Cartago</w:t>
            </w:r>
          </w:p>
        </w:tc>
        <w:tc>
          <w:tcPr>
            <w:tcW w:w="2031"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16A8A10C" w14:textId="73F0F97E" w:rsidR="008D6451" w:rsidRDefault="00300326" w:rsidP="00446B06">
            <w:pPr>
              <w:jc w:val="center"/>
              <w:rPr>
                <w:rFonts w:ascii="Book Antiqua" w:hAnsi="Book Antiqua"/>
              </w:rPr>
            </w:pPr>
            <w:r>
              <w:rPr>
                <w:rFonts w:ascii="Book Antiqua" w:hAnsi="Book Antiqua"/>
              </w:rPr>
              <w:object w:dxaOrig="2520" w:dyaOrig="1640" w14:anchorId="5DA59927">
                <v:shape id="_x0000_i1031" type="#_x0000_t75" style="width:81.7pt;height:55.85pt" o:ole="">
                  <v:imagedata r:id="rId34" o:title=""/>
                </v:shape>
                <o:OLEObject Type="Embed" ProgID="Package" ShapeID="_x0000_i1031" DrawAspect="Icon" ObjectID="_1700915695" r:id="rId35"/>
              </w:object>
            </w:r>
          </w:p>
        </w:tc>
      </w:tr>
      <w:tr w:rsidR="008D6451" w:rsidRPr="00410ED4" w14:paraId="0E7FE635" w14:textId="77777777" w:rsidTr="001A7BEA">
        <w:trPr>
          <w:tblCellSpacing w:w="1440" w:type="nil"/>
        </w:trPr>
        <w:tc>
          <w:tcPr>
            <w:tcW w:w="810"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4D861FAB" w14:textId="259D203A" w:rsidR="008D6451" w:rsidRPr="00410ED4" w:rsidRDefault="008D6451" w:rsidP="008D6451">
            <w:pPr>
              <w:jc w:val="center"/>
              <w:rPr>
                <w:rFonts w:ascii="Book Antiqua" w:hAnsi="Book Antiqua"/>
                <w:b/>
                <w:i/>
                <w:color w:val="000000"/>
              </w:rPr>
            </w:pPr>
            <w:r>
              <w:rPr>
                <w:rFonts w:ascii="Book Antiqua" w:hAnsi="Book Antiqua"/>
                <w:b/>
                <w:i/>
                <w:color w:val="000000"/>
              </w:rPr>
              <w:t>Anexo 4</w:t>
            </w:r>
          </w:p>
        </w:tc>
        <w:tc>
          <w:tcPr>
            <w:tcW w:w="2159"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2D79D2C4" w14:textId="0D941397" w:rsidR="008D6451" w:rsidRPr="0099199E" w:rsidRDefault="008D6451" w:rsidP="008D6451">
            <w:pPr>
              <w:jc w:val="center"/>
              <w:rPr>
                <w:rFonts w:ascii="Book Antiqua" w:hAnsi="Book Antiqua"/>
                <w:highlight w:val="yellow"/>
              </w:rPr>
            </w:pPr>
            <w:r>
              <w:rPr>
                <w:rFonts w:ascii="Book Antiqua" w:hAnsi="Book Antiqua"/>
              </w:rPr>
              <w:t>Minuta de reunión 37-2018 capacitación al Tribunal de Apelación Civil y Laboral de Cartago</w:t>
            </w:r>
          </w:p>
        </w:tc>
        <w:tc>
          <w:tcPr>
            <w:tcW w:w="2031"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35977568" w14:textId="46EC8EE5" w:rsidR="008D6451" w:rsidRDefault="00300326" w:rsidP="00446B06">
            <w:pPr>
              <w:jc w:val="center"/>
              <w:rPr>
                <w:rFonts w:ascii="Book Antiqua" w:hAnsi="Book Antiqua"/>
              </w:rPr>
            </w:pPr>
            <w:r>
              <w:rPr>
                <w:rFonts w:ascii="Book Antiqua" w:hAnsi="Book Antiqua"/>
              </w:rPr>
              <w:object w:dxaOrig="2520" w:dyaOrig="1640" w14:anchorId="4A1A0E71">
                <v:shape id="_x0000_i1032" type="#_x0000_t75" style="width:1in;height:46.15pt" o:ole="">
                  <v:imagedata r:id="rId36" o:title=""/>
                </v:shape>
                <o:OLEObject Type="Embed" ProgID="Package" ShapeID="_x0000_i1032" DrawAspect="Icon" ObjectID="_1700915696" r:id="rId37"/>
              </w:object>
            </w:r>
          </w:p>
        </w:tc>
      </w:tr>
      <w:tr w:rsidR="008D6451" w:rsidRPr="00410ED4" w14:paraId="457FB210" w14:textId="77777777" w:rsidTr="001A7BEA">
        <w:trPr>
          <w:tblCellSpacing w:w="1440" w:type="nil"/>
        </w:trPr>
        <w:tc>
          <w:tcPr>
            <w:tcW w:w="810"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2EC41C46" w14:textId="6B66533F" w:rsidR="008D6451" w:rsidRDefault="008D6451" w:rsidP="008D6451">
            <w:pPr>
              <w:rPr>
                <w:rFonts w:ascii="Book Antiqua" w:hAnsi="Book Antiqua"/>
                <w:b/>
                <w:i/>
                <w:color w:val="000000"/>
              </w:rPr>
            </w:pPr>
            <w:r w:rsidDel="008D6451">
              <w:rPr>
                <w:rFonts w:ascii="Book Antiqua" w:hAnsi="Book Antiqua"/>
                <w:b/>
                <w:i/>
                <w:color w:val="000000"/>
              </w:rPr>
              <w:t>Anexo 5</w:t>
            </w:r>
          </w:p>
        </w:tc>
        <w:tc>
          <w:tcPr>
            <w:tcW w:w="2159"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347D630D" w14:textId="4F948847" w:rsidR="008D6451" w:rsidRDefault="008D6451" w:rsidP="008D6451">
            <w:pPr>
              <w:jc w:val="center"/>
              <w:rPr>
                <w:rFonts w:ascii="Book Antiqua" w:hAnsi="Book Antiqua"/>
              </w:rPr>
            </w:pPr>
            <w:r w:rsidDel="008D6451">
              <w:rPr>
                <w:rFonts w:ascii="Book Antiqua" w:hAnsi="Book Antiqua"/>
              </w:rPr>
              <w:t>Circular 239-2020</w:t>
            </w:r>
          </w:p>
        </w:tc>
        <w:bookmarkStart w:id="21" w:name="_MON_1686123453"/>
        <w:bookmarkEnd w:id="21"/>
        <w:tc>
          <w:tcPr>
            <w:tcW w:w="2031"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494DB759" w14:textId="103CF751" w:rsidR="008D6451" w:rsidRDefault="008D6451" w:rsidP="00446B06">
            <w:pPr>
              <w:jc w:val="center"/>
              <w:rPr>
                <w:rFonts w:ascii="Book Antiqua" w:hAnsi="Book Antiqua"/>
              </w:rPr>
            </w:pPr>
            <w:r>
              <w:object w:dxaOrig="1513" w:dyaOrig="984" w14:anchorId="021CEE9D">
                <v:shape id="_x0000_i1033" type="#_x0000_t75" style="width:77.55pt;height:46.15pt" o:ole="">
                  <v:imagedata r:id="rId38" o:title=""/>
                </v:shape>
                <o:OLEObject Type="Embed" ProgID="Word.Document.12" ShapeID="_x0000_i1033" DrawAspect="Icon" ObjectID="_1700915697" r:id="rId39">
                  <o:FieldCodes>\s</o:FieldCodes>
                </o:OLEObject>
              </w:object>
            </w:r>
          </w:p>
        </w:tc>
      </w:tr>
      <w:tr w:rsidR="008D6451" w:rsidRPr="00410ED4" w14:paraId="6AE1C63A" w14:textId="77777777" w:rsidTr="001A7BEA">
        <w:trPr>
          <w:tblCellSpacing w:w="1440" w:type="nil"/>
        </w:trPr>
        <w:tc>
          <w:tcPr>
            <w:tcW w:w="810"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6324D1EF" w14:textId="5DCC7428" w:rsidR="008D6451" w:rsidRDefault="008D6451" w:rsidP="008D6451">
            <w:pPr>
              <w:rPr>
                <w:rFonts w:ascii="Book Antiqua" w:hAnsi="Book Antiqua"/>
                <w:b/>
                <w:i/>
                <w:color w:val="000000"/>
              </w:rPr>
            </w:pPr>
            <w:r>
              <w:rPr>
                <w:rFonts w:ascii="Book Antiqua" w:hAnsi="Book Antiqua"/>
                <w:b/>
                <w:i/>
                <w:color w:val="000000"/>
              </w:rPr>
              <w:t>Anexo 6</w:t>
            </w:r>
          </w:p>
        </w:tc>
        <w:tc>
          <w:tcPr>
            <w:tcW w:w="2159"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1696A0A8" w14:textId="2C1F5905" w:rsidR="008D6451" w:rsidRDefault="008D6451" w:rsidP="008D6451">
            <w:pPr>
              <w:jc w:val="center"/>
              <w:rPr>
                <w:rFonts w:ascii="Book Antiqua" w:hAnsi="Book Antiqua"/>
              </w:rPr>
            </w:pPr>
            <w:r w:rsidRPr="00221400">
              <w:rPr>
                <w:rFonts w:ascii="Book Antiqua" w:hAnsi="Book Antiqua"/>
              </w:rPr>
              <w:t>Correo electrónico de</w:t>
            </w:r>
            <w:r w:rsidRPr="0099199E">
              <w:rPr>
                <w:rFonts w:ascii="Book Antiqua" w:hAnsi="Book Antiqua"/>
              </w:rPr>
              <w:t xml:space="preserve">l </w:t>
            </w:r>
            <w:r w:rsidRPr="0099199E">
              <w:rPr>
                <w:rFonts w:ascii="Book Antiqua" w:hAnsi="Book Antiqua" w:cs="Book Antiqua"/>
              </w:rPr>
              <w:t>Centro de Apoyo, Coordinación y Mejoramiento de la Función Jurisdiccional</w:t>
            </w:r>
            <w:r w:rsidRPr="0099199E">
              <w:rPr>
                <w:rFonts w:ascii="Book Antiqua" w:hAnsi="Book Antiqua"/>
              </w:rPr>
              <w:t xml:space="preserve">, con información de la colaboración brindada a los Tribunales de Apelación Civil y Laboral durante el 2019. </w:t>
            </w:r>
          </w:p>
        </w:tc>
        <w:tc>
          <w:tcPr>
            <w:tcW w:w="2031"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2B9E16EA" w14:textId="6695E5A6" w:rsidR="008D6451" w:rsidRDefault="00300326" w:rsidP="00446B06">
            <w:pPr>
              <w:jc w:val="center"/>
            </w:pPr>
            <w:r>
              <w:rPr>
                <w:rFonts w:ascii="Book Antiqua" w:hAnsi="Book Antiqua"/>
              </w:rPr>
              <w:object w:dxaOrig="2520" w:dyaOrig="1640" w14:anchorId="49A6DE65">
                <v:shape id="_x0000_i1034" type="#_x0000_t75" style="width:92.3pt;height:55.85pt" o:ole="">
                  <v:imagedata r:id="rId40" o:title=""/>
                </v:shape>
                <o:OLEObject Type="Embed" ProgID="Package" ShapeID="_x0000_i1034" DrawAspect="Icon" ObjectID="_1700915698" r:id="rId41"/>
              </w:object>
            </w:r>
            <w:r>
              <w:rPr>
                <w:rFonts w:ascii="Book Antiqua" w:hAnsi="Book Antiqua"/>
              </w:rPr>
              <w:object w:dxaOrig="2520" w:dyaOrig="1640" w14:anchorId="21AEB0C5">
                <v:shape id="_x0000_i1035" type="#_x0000_t75" style="width:97.85pt;height:61.4pt" o:ole="">
                  <v:imagedata r:id="rId42" o:title=""/>
                </v:shape>
                <o:OLEObject Type="Embed" ProgID="Package" ShapeID="_x0000_i1035" DrawAspect="Icon" ObjectID="_1700915699" r:id="rId43"/>
              </w:object>
            </w:r>
          </w:p>
        </w:tc>
      </w:tr>
      <w:tr w:rsidR="008D6451" w:rsidRPr="00410ED4" w14:paraId="209D4488" w14:textId="77777777" w:rsidTr="001A7BEA">
        <w:trPr>
          <w:tblCellSpacing w:w="1440" w:type="nil"/>
        </w:trPr>
        <w:tc>
          <w:tcPr>
            <w:tcW w:w="810"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2FA370EC" w14:textId="018B4515" w:rsidR="008D6451" w:rsidRDefault="008D6451" w:rsidP="008D6451">
            <w:pPr>
              <w:rPr>
                <w:rFonts w:ascii="Book Antiqua" w:hAnsi="Book Antiqua"/>
                <w:b/>
                <w:i/>
                <w:color w:val="000000"/>
              </w:rPr>
            </w:pPr>
            <w:r>
              <w:rPr>
                <w:rFonts w:ascii="Book Antiqua" w:hAnsi="Book Antiqua"/>
                <w:b/>
                <w:i/>
                <w:color w:val="000000"/>
              </w:rPr>
              <w:t>Anexo 7</w:t>
            </w:r>
          </w:p>
        </w:tc>
        <w:tc>
          <w:tcPr>
            <w:tcW w:w="2159"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2C2FECE5" w14:textId="0864672F" w:rsidR="008D6451" w:rsidRDefault="008D6451" w:rsidP="008D6451">
            <w:pPr>
              <w:jc w:val="center"/>
              <w:rPr>
                <w:rFonts w:ascii="Book Antiqua" w:hAnsi="Book Antiqua"/>
              </w:rPr>
            </w:pPr>
            <w:r>
              <w:rPr>
                <w:rFonts w:ascii="Book Antiqua" w:hAnsi="Book Antiqua"/>
              </w:rPr>
              <w:t>Propuesta de Matriz de Indicadores</w:t>
            </w:r>
            <w:r w:rsidR="00546ABD">
              <w:rPr>
                <w:rFonts w:ascii="Book Antiqua" w:hAnsi="Book Antiqua"/>
              </w:rPr>
              <w:t xml:space="preserve"> </w:t>
            </w:r>
            <w:r w:rsidR="004F3100">
              <w:rPr>
                <w:rFonts w:ascii="Book Antiqua" w:hAnsi="Book Antiqua"/>
              </w:rPr>
              <w:t>de Gestión del Tribunal de Apelación Civil y Trabajo de</w:t>
            </w:r>
            <w:r w:rsidR="00546ABD">
              <w:rPr>
                <w:rFonts w:ascii="Book Antiqua" w:hAnsi="Book Antiqua"/>
              </w:rPr>
              <w:t xml:space="preserve"> Cartago </w:t>
            </w:r>
          </w:p>
        </w:tc>
        <w:tc>
          <w:tcPr>
            <w:tcW w:w="2031"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459FDAE4" w14:textId="3664F1EB" w:rsidR="008D6451" w:rsidRDefault="00535C15" w:rsidP="00ED6EBD">
            <w:pPr>
              <w:widowControl w:val="0"/>
              <w:autoSpaceDE w:val="0"/>
              <w:autoSpaceDN w:val="0"/>
              <w:adjustRightInd w:val="0"/>
              <w:spacing w:after="0" w:line="276" w:lineRule="auto"/>
              <w:ind w:right="49"/>
              <w:jc w:val="center"/>
              <w:rPr>
                <w:rFonts w:ascii="Book Antiqua" w:hAnsi="Book Antiqua"/>
              </w:rPr>
            </w:pPr>
            <w:r>
              <w:rPr>
                <w:rFonts w:ascii="Book Antiqua" w:hAnsi="Book Antiqua"/>
              </w:rPr>
              <w:object w:dxaOrig="1376" w:dyaOrig="899" w14:anchorId="36866051">
                <v:shape id="_x0000_i1036" type="#_x0000_t75" style="width:68.75pt;height:43.85pt" o:ole="">
                  <v:imagedata r:id="rId44" o:title=""/>
                </v:shape>
                <o:OLEObject Type="Embed" ProgID="Excel.Sheet.12" ShapeID="_x0000_i1036" DrawAspect="Icon" ObjectID="_1700915700" r:id="rId45"/>
              </w:object>
            </w:r>
          </w:p>
        </w:tc>
      </w:tr>
      <w:tr w:rsidR="00546ABD" w:rsidRPr="00410ED4" w14:paraId="304EA6B9" w14:textId="77777777" w:rsidTr="001A7BEA">
        <w:trPr>
          <w:tblCellSpacing w:w="1440" w:type="nil"/>
        </w:trPr>
        <w:tc>
          <w:tcPr>
            <w:tcW w:w="810"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2F6DFE97" w14:textId="7D62FD58" w:rsidR="00546ABD" w:rsidRDefault="001F1DAD" w:rsidP="008D6451">
            <w:pPr>
              <w:rPr>
                <w:rFonts w:ascii="Book Antiqua" w:hAnsi="Book Antiqua"/>
                <w:b/>
                <w:i/>
                <w:color w:val="000000"/>
              </w:rPr>
            </w:pPr>
            <w:r>
              <w:rPr>
                <w:rFonts w:ascii="Book Antiqua" w:hAnsi="Book Antiqua"/>
                <w:b/>
                <w:i/>
                <w:color w:val="000000"/>
              </w:rPr>
              <w:t>Anexo 8</w:t>
            </w:r>
          </w:p>
        </w:tc>
        <w:tc>
          <w:tcPr>
            <w:tcW w:w="2159"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29CCBB27" w14:textId="363A7CE0" w:rsidR="00546ABD" w:rsidRDefault="00591202" w:rsidP="008D6451">
            <w:pPr>
              <w:jc w:val="center"/>
              <w:rPr>
                <w:rFonts w:ascii="Book Antiqua" w:hAnsi="Book Antiqua"/>
              </w:rPr>
            </w:pPr>
            <w:r>
              <w:rPr>
                <w:rFonts w:ascii="Book Antiqua" w:hAnsi="Book Antiqua"/>
              </w:rPr>
              <w:t xml:space="preserve">Propuesta </w:t>
            </w:r>
            <w:r w:rsidRPr="009D0D9E">
              <w:rPr>
                <w:rFonts w:ascii="Book Antiqua" w:hAnsi="Book Antiqua"/>
              </w:rPr>
              <w:t xml:space="preserve">de Matriz de Indicadores </w:t>
            </w:r>
            <w:r w:rsidR="00455C1A" w:rsidRPr="009D0D9E">
              <w:rPr>
                <w:rFonts w:ascii="Book Antiqua" w:hAnsi="Book Antiqua"/>
              </w:rPr>
              <w:t xml:space="preserve">de Gestión del </w:t>
            </w:r>
            <w:r w:rsidR="00455C1A" w:rsidRPr="00AF44C9">
              <w:rPr>
                <w:rFonts w:ascii="Book Antiqua" w:hAnsi="Book Antiqua"/>
              </w:rPr>
              <w:t xml:space="preserve">Tribunal de Apelación Civil y Trabajo de </w:t>
            </w:r>
            <w:r w:rsidRPr="00C85C1A">
              <w:rPr>
                <w:rFonts w:ascii="Book Antiqua" w:hAnsi="Book Antiqua"/>
              </w:rPr>
              <w:t>Pérez Zeledón</w:t>
            </w:r>
            <w:r>
              <w:rPr>
                <w:rFonts w:ascii="Book Antiqua" w:hAnsi="Book Antiqua"/>
              </w:rPr>
              <w:t xml:space="preserve"> </w:t>
            </w:r>
          </w:p>
        </w:tc>
        <w:tc>
          <w:tcPr>
            <w:tcW w:w="2031"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2E3487E8" w14:textId="6EA1AC2E" w:rsidR="00546ABD" w:rsidRDefault="00535C15" w:rsidP="00ED6EBD">
            <w:pPr>
              <w:widowControl w:val="0"/>
              <w:autoSpaceDE w:val="0"/>
              <w:autoSpaceDN w:val="0"/>
              <w:adjustRightInd w:val="0"/>
              <w:spacing w:after="0" w:line="276" w:lineRule="auto"/>
              <w:ind w:right="49"/>
              <w:jc w:val="center"/>
              <w:rPr>
                <w:rFonts w:ascii="Book Antiqua" w:hAnsi="Book Antiqua"/>
              </w:rPr>
            </w:pPr>
            <w:r>
              <w:rPr>
                <w:rFonts w:ascii="Book Antiqua" w:hAnsi="Book Antiqua"/>
              </w:rPr>
              <w:object w:dxaOrig="1376" w:dyaOrig="899" w14:anchorId="57B9B2D5">
                <v:shape id="_x0000_i1037" type="#_x0000_t75" style="width:66.45pt;height:46.15pt" o:ole="">
                  <v:imagedata r:id="rId46" o:title=""/>
                </v:shape>
                <o:OLEObject Type="Embed" ProgID="Excel.Sheet.12" ShapeID="_x0000_i1037" DrawAspect="Icon" ObjectID="_1700915701" r:id="rId47"/>
              </w:object>
            </w:r>
            <w:bookmarkStart w:id="22" w:name="_MON_1680082075"/>
            <w:bookmarkEnd w:id="22"/>
          </w:p>
        </w:tc>
      </w:tr>
      <w:tr w:rsidR="00546ABD" w:rsidRPr="00410ED4" w14:paraId="3B24C027" w14:textId="77777777" w:rsidTr="001A7BEA">
        <w:trPr>
          <w:tblCellSpacing w:w="1440" w:type="nil"/>
        </w:trPr>
        <w:tc>
          <w:tcPr>
            <w:tcW w:w="810"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7DDCEE32" w14:textId="200AAC63" w:rsidR="00546ABD" w:rsidRDefault="001F1DAD" w:rsidP="008D6451">
            <w:pPr>
              <w:rPr>
                <w:rFonts w:ascii="Book Antiqua" w:hAnsi="Book Antiqua"/>
                <w:b/>
                <w:i/>
                <w:color w:val="000000"/>
              </w:rPr>
            </w:pPr>
            <w:r>
              <w:rPr>
                <w:rFonts w:ascii="Book Antiqua" w:hAnsi="Book Antiqua"/>
                <w:b/>
                <w:i/>
                <w:color w:val="000000"/>
              </w:rPr>
              <w:t>Anexo 9</w:t>
            </w:r>
          </w:p>
        </w:tc>
        <w:tc>
          <w:tcPr>
            <w:tcW w:w="2159"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1FAAEDB3" w14:textId="7CD56FDE" w:rsidR="00546ABD" w:rsidRDefault="00591202" w:rsidP="008D6451">
            <w:pPr>
              <w:jc w:val="center"/>
              <w:rPr>
                <w:rFonts w:ascii="Book Antiqua" w:hAnsi="Book Antiqua"/>
              </w:rPr>
            </w:pPr>
            <w:r>
              <w:rPr>
                <w:rFonts w:ascii="Book Antiqua" w:hAnsi="Book Antiqua"/>
              </w:rPr>
              <w:t xml:space="preserve">Propuesta de Matriz de Indicadores </w:t>
            </w:r>
            <w:r w:rsidR="00455C1A">
              <w:rPr>
                <w:rFonts w:ascii="Book Antiqua" w:hAnsi="Book Antiqua"/>
              </w:rPr>
              <w:t xml:space="preserve">de Gestión del Tribunal de Apelación Civil y Trabajo de </w:t>
            </w:r>
            <w:r>
              <w:rPr>
                <w:rFonts w:ascii="Book Antiqua" w:hAnsi="Book Antiqua"/>
              </w:rPr>
              <w:t xml:space="preserve">Limón </w:t>
            </w:r>
          </w:p>
        </w:tc>
        <w:tc>
          <w:tcPr>
            <w:tcW w:w="2031"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7B6DB77A" w14:textId="5454EBEB" w:rsidR="00546ABD" w:rsidRDefault="00535C15" w:rsidP="00671A11">
            <w:pPr>
              <w:widowControl w:val="0"/>
              <w:autoSpaceDE w:val="0"/>
              <w:autoSpaceDN w:val="0"/>
              <w:adjustRightInd w:val="0"/>
              <w:spacing w:after="0" w:line="276" w:lineRule="auto"/>
              <w:ind w:right="49"/>
              <w:jc w:val="center"/>
              <w:rPr>
                <w:rFonts w:ascii="Book Antiqua" w:hAnsi="Book Antiqua"/>
              </w:rPr>
            </w:pPr>
            <w:r>
              <w:rPr>
                <w:rFonts w:ascii="Book Antiqua" w:hAnsi="Book Antiqua"/>
              </w:rPr>
              <w:object w:dxaOrig="1376" w:dyaOrig="899" w14:anchorId="240DD6FA">
                <v:shape id="_x0000_i1038" type="#_x0000_t75" style="width:68.75pt;height:43.85pt" o:ole="">
                  <v:imagedata r:id="rId48" o:title=""/>
                </v:shape>
                <o:OLEObject Type="Embed" ProgID="Excel.Sheet.12" ShapeID="_x0000_i1038" DrawAspect="Icon" ObjectID="_1700915702" r:id="rId49"/>
              </w:object>
            </w:r>
          </w:p>
        </w:tc>
      </w:tr>
      <w:tr w:rsidR="00546ABD" w:rsidRPr="00410ED4" w14:paraId="09B2AC2C" w14:textId="77777777" w:rsidTr="001A7BEA">
        <w:trPr>
          <w:tblCellSpacing w:w="1440" w:type="nil"/>
        </w:trPr>
        <w:tc>
          <w:tcPr>
            <w:tcW w:w="810"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54159DE5" w14:textId="19DCF324" w:rsidR="00546ABD" w:rsidRDefault="001F1DAD" w:rsidP="008D6451">
            <w:pPr>
              <w:rPr>
                <w:rFonts w:ascii="Book Antiqua" w:hAnsi="Book Antiqua"/>
                <w:b/>
                <w:i/>
                <w:color w:val="000000"/>
              </w:rPr>
            </w:pPr>
            <w:r>
              <w:rPr>
                <w:rFonts w:ascii="Book Antiqua" w:hAnsi="Book Antiqua"/>
                <w:b/>
                <w:i/>
                <w:color w:val="000000"/>
              </w:rPr>
              <w:t>Anexo 10</w:t>
            </w:r>
          </w:p>
        </w:tc>
        <w:tc>
          <w:tcPr>
            <w:tcW w:w="2159"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5C574C02" w14:textId="23319754" w:rsidR="00546ABD" w:rsidRDefault="00591202" w:rsidP="008D6451">
            <w:pPr>
              <w:jc w:val="center"/>
              <w:rPr>
                <w:rFonts w:ascii="Book Antiqua" w:hAnsi="Book Antiqua"/>
              </w:rPr>
            </w:pPr>
            <w:r>
              <w:rPr>
                <w:rFonts w:ascii="Book Antiqua" w:hAnsi="Book Antiqua"/>
              </w:rPr>
              <w:t xml:space="preserve">Propuesta de Matriz de Indicadores </w:t>
            </w:r>
            <w:r w:rsidR="00455C1A">
              <w:rPr>
                <w:rFonts w:ascii="Book Antiqua" w:hAnsi="Book Antiqua"/>
              </w:rPr>
              <w:t xml:space="preserve">de Gestión del Tribunal de Apelación Civil y Trabajo de </w:t>
            </w:r>
            <w:r>
              <w:rPr>
                <w:rFonts w:ascii="Book Antiqua" w:hAnsi="Book Antiqua"/>
              </w:rPr>
              <w:t xml:space="preserve">Alajuela </w:t>
            </w:r>
          </w:p>
        </w:tc>
        <w:tc>
          <w:tcPr>
            <w:tcW w:w="2031"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1C0BBF32" w14:textId="058068F4" w:rsidR="00546ABD" w:rsidRDefault="00535C15" w:rsidP="00671A11">
            <w:pPr>
              <w:widowControl w:val="0"/>
              <w:autoSpaceDE w:val="0"/>
              <w:autoSpaceDN w:val="0"/>
              <w:adjustRightInd w:val="0"/>
              <w:spacing w:after="0" w:line="276" w:lineRule="auto"/>
              <w:ind w:right="49"/>
              <w:jc w:val="center"/>
              <w:rPr>
                <w:rFonts w:ascii="Book Antiqua" w:hAnsi="Book Antiqua"/>
              </w:rPr>
            </w:pPr>
            <w:r>
              <w:rPr>
                <w:rFonts w:ascii="Book Antiqua" w:hAnsi="Book Antiqua"/>
              </w:rPr>
              <w:object w:dxaOrig="1376" w:dyaOrig="899" w14:anchorId="461B7154">
                <v:shape id="_x0000_i1039" type="#_x0000_t75" style="width:66.45pt;height:46.15pt" o:ole="">
                  <v:imagedata r:id="rId50" o:title=""/>
                </v:shape>
                <o:OLEObject Type="Embed" ProgID="Excel.Sheet.12" ShapeID="_x0000_i1039" DrawAspect="Icon" ObjectID="_1700915703" r:id="rId51"/>
              </w:object>
            </w:r>
          </w:p>
        </w:tc>
      </w:tr>
      <w:tr w:rsidR="00546ABD" w:rsidRPr="00410ED4" w14:paraId="68AF14C9" w14:textId="77777777" w:rsidTr="001A7BEA">
        <w:trPr>
          <w:tblCellSpacing w:w="1440" w:type="nil"/>
        </w:trPr>
        <w:tc>
          <w:tcPr>
            <w:tcW w:w="810"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4CB5CE74" w14:textId="0CB9ACD7" w:rsidR="00546ABD" w:rsidRDefault="001F1DAD" w:rsidP="008D6451">
            <w:pPr>
              <w:rPr>
                <w:rFonts w:ascii="Book Antiqua" w:hAnsi="Book Antiqua"/>
                <w:b/>
                <w:i/>
                <w:color w:val="000000"/>
              </w:rPr>
            </w:pPr>
            <w:r>
              <w:rPr>
                <w:rFonts w:ascii="Book Antiqua" w:hAnsi="Book Antiqua"/>
                <w:b/>
                <w:i/>
                <w:color w:val="000000"/>
              </w:rPr>
              <w:t>Anexo 11</w:t>
            </w:r>
          </w:p>
        </w:tc>
        <w:tc>
          <w:tcPr>
            <w:tcW w:w="2159"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75BE1174" w14:textId="408738C6" w:rsidR="00546ABD" w:rsidRDefault="001F1DAD" w:rsidP="008D6451">
            <w:pPr>
              <w:jc w:val="center"/>
              <w:rPr>
                <w:rFonts w:ascii="Book Antiqua" w:hAnsi="Book Antiqua"/>
              </w:rPr>
            </w:pPr>
            <w:r>
              <w:rPr>
                <w:rFonts w:ascii="Book Antiqua" w:hAnsi="Book Antiqua"/>
              </w:rPr>
              <w:t xml:space="preserve">Propuesta de Matriz de Indicadores </w:t>
            </w:r>
            <w:r w:rsidR="00455C1A">
              <w:rPr>
                <w:rFonts w:ascii="Book Antiqua" w:hAnsi="Book Antiqua"/>
              </w:rPr>
              <w:t xml:space="preserve">de Gestión del Tribunal de Apelación Civil y Trabajo de </w:t>
            </w:r>
            <w:r>
              <w:rPr>
                <w:rFonts w:ascii="Book Antiqua" w:hAnsi="Book Antiqua"/>
              </w:rPr>
              <w:t xml:space="preserve">Heredia </w:t>
            </w:r>
          </w:p>
        </w:tc>
        <w:tc>
          <w:tcPr>
            <w:tcW w:w="2031"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17B07CC3" w14:textId="21EBE3FF" w:rsidR="00546ABD" w:rsidRDefault="00535C15" w:rsidP="00671A11">
            <w:pPr>
              <w:widowControl w:val="0"/>
              <w:autoSpaceDE w:val="0"/>
              <w:autoSpaceDN w:val="0"/>
              <w:adjustRightInd w:val="0"/>
              <w:spacing w:after="0" w:line="276" w:lineRule="auto"/>
              <w:ind w:right="49"/>
              <w:jc w:val="center"/>
              <w:rPr>
                <w:rFonts w:ascii="Book Antiqua" w:hAnsi="Book Antiqua"/>
              </w:rPr>
            </w:pPr>
            <w:r>
              <w:rPr>
                <w:rFonts w:ascii="Book Antiqua" w:hAnsi="Book Antiqua"/>
              </w:rPr>
              <w:object w:dxaOrig="1376" w:dyaOrig="899" w14:anchorId="75F006EA">
                <v:shape id="_x0000_i1040" type="#_x0000_t75" style="width:66.45pt;height:46.15pt" o:ole="">
                  <v:imagedata r:id="rId52" o:title=""/>
                </v:shape>
                <o:OLEObject Type="Embed" ProgID="Excel.Sheet.12" ShapeID="_x0000_i1040" DrawAspect="Icon" ObjectID="_1700915704" r:id="rId53"/>
              </w:object>
            </w:r>
          </w:p>
        </w:tc>
      </w:tr>
      <w:tr w:rsidR="00546ABD" w:rsidRPr="00410ED4" w14:paraId="69F6A3B8" w14:textId="77777777" w:rsidTr="001A7BEA">
        <w:trPr>
          <w:tblCellSpacing w:w="1440" w:type="nil"/>
        </w:trPr>
        <w:tc>
          <w:tcPr>
            <w:tcW w:w="810"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1E75500C" w14:textId="4FD5162B" w:rsidR="00546ABD" w:rsidRDefault="001F1DAD" w:rsidP="008D6451">
            <w:pPr>
              <w:rPr>
                <w:rFonts w:ascii="Book Antiqua" w:hAnsi="Book Antiqua"/>
                <w:b/>
                <w:i/>
                <w:color w:val="000000"/>
              </w:rPr>
            </w:pPr>
            <w:r>
              <w:rPr>
                <w:rFonts w:ascii="Book Antiqua" w:hAnsi="Book Antiqua"/>
                <w:b/>
                <w:i/>
                <w:color w:val="000000"/>
              </w:rPr>
              <w:t>Anexo 12</w:t>
            </w:r>
          </w:p>
        </w:tc>
        <w:tc>
          <w:tcPr>
            <w:tcW w:w="2159"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158CA485" w14:textId="1E99D3CE" w:rsidR="00546ABD" w:rsidRDefault="001F1DAD" w:rsidP="008D6451">
            <w:pPr>
              <w:jc w:val="center"/>
              <w:rPr>
                <w:rFonts w:ascii="Book Antiqua" w:hAnsi="Book Antiqua"/>
              </w:rPr>
            </w:pPr>
            <w:r>
              <w:rPr>
                <w:rFonts w:ascii="Book Antiqua" w:hAnsi="Book Antiqua"/>
              </w:rPr>
              <w:t xml:space="preserve">Propuesta de Matriz de Indicadores </w:t>
            </w:r>
            <w:r w:rsidR="00455C1A">
              <w:rPr>
                <w:rFonts w:ascii="Book Antiqua" w:hAnsi="Book Antiqua"/>
              </w:rPr>
              <w:t xml:space="preserve">de Gestión del Tribunal de Apelación Civil y Trabajo de </w:t>
            </w:r>
            <w:r>
              <w:rPr>
                <w:rFonts w:ascii="Book Antiqua" w:hAnsi="Book Antiqua"/>
              </w:rPr>
              <w:t xml:space="preserve">Liberia </w:t>
            </w:r>
          </w:p>
        </w:tc>
        <w:tc>
          <w:tcPr>
            <w:tcW w:w="2031"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4F9032B8" w14:textId="5EFB5717" w:rsidR="00546ABD" w:rsidRDefault="00535C15" w:rsidP="00671A11">
            <w:pPr>
              <w:widowControl w:val="0"/>
              <w:autoSpaceDE w:val="0"/>
              <w:autoSpaceDN w:val="0"/>
              <w:adjustRightInd w:val="0"/>
              <w:spacing w:after="0" w:line="276" w:lineRule="auto"/>
              <w:ind w:right="49"/>
              <w:jc w:val="center"/>
              <w:rPr>
                <w:rFonts w:ascii="Book Antiqua" w:hAnsi="Book Antiqua"/>
              </w:rPr>
            </w:pPr>
            <w:r>
              <w:rPr>
                <w:rFonts w:ascii="Book Antiqua" w:hAnsi="Book Antiqua"/>
              </w:rPr>
              <w:object w:dxaOrig="1376" w:dyaOrig="899" w14:anchorId="339BF4FB">
                <v:shape id="_x0000_i1041" type="#_x0000_t75" style="width:68.75pt;height:43.85pt" o:ole="">
                  <v:imagedata r:id="rId54" o:title=""/>
                </v:shape>
                <o:OLEObject Type="Embed" ProgID="Excel.Sheet.12" ShapeID="_x0000_i1041" DrawAspect="Icon" ObjectID="_1700915705" r:id="rId55"/>
              </w:object>
            </w:r>
          </w:p>
        </w:tc>
      </w:tr>
      <w:tr w:rsidR="001F1DAD" w:rsidRPr="00410ED4" w14:paraId="1AD5EC67" w14:textId="77777777" w:rsidTr="001A7BEA">
        <w:trPr>
          <w:tblCellSpacing w:w="1440" w:type="nil"/>
        </w:trPr>
        <w:tc>
          <w:tcPr>
            <w:tcW w:w="810"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40E2F9DE" w14:textId="62FAB0F5" w:rsidR="001F1DAD" w:rsidRDefault="001F1DAD" w:rsidP="008D6451">
            <w:pPr>
              <w:rPr>
                <w:rFonts w:ascii="Book Antiqua" w:hAnsi="Book Antiqua"/>
                <w:b/>
                <w:i/>
                <w:color w:val="000000"/>
              </w:rPr>
            </w:pPr>
            <w:r>
              <w:rPr>
                <w:rFonts w:ascii="Book Antiqua" w:hAnsi="Book Antiqua"/>
                <w:b/>
                <w:i/>
                <w:color w:val="000000"/>
              </w:rPr>
              <w:t>Anexo 13</w:t>
            </w:r>
          </w:p>
        </w:tc>
        <w:tc>
          <w:tcPr>
            <w:tcW w:w="2159"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5E987DFB" w14:textId="0E5F5171" w:rsidR="001F1DAD" w:rsidRDefault="001F1DAD" w:rsidP="008D6451">
            <w:pPr>
              <w:jc w:val="center"/>
              <w:rPr>
                <w:rFonts w:ascii="Book Antiqua" w:hAnsi="Book Antiqua"/>
              </w:rPr>
            </w:pPr>
            <w:r>
              <w:rPr>
                <w:rFonts w:ascii="Book Antiqua" w:hAnsi="Book Antiqua"/>
              </w:rPr>
              <w:t xml:space="preserve">Propuesta de Matriz de Indicadores </w:t>
            </w:r>
            <w:r w:rsidR="00455C1A">
              <w:rPr>
                <w:rFonts w:ascii="Book Antiqua" w:hAnsi="Book Antiqua"/>
              </w:rPr>
              <w:t xml:space="preserve">de Gestión del Tribunal de Apelación Civil y Trabajo de </w:t>
            </w:r>
            <w:r>
              <w:rPr>
                <w:rFonts w:ascii="Book Antiqua" w:hAnsi="Book Antiqua"/>
              </w:rPr>
              <w:t xml:space="preserve">Puntarenas </w:t>
            </w:r>
          </w:p>
        </w:tc>
        <w:tc>
          <w:tcPr>
            <w:tcW w:w="2031"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1B25F933" w14:textId="18E2AC49" w:rsidR="001F1DAD" w:rsidRDefault="00CB40A4" w:rsidP="00671A11">
            <w:pPr>
              <w:widowControl w:val="0"/>
              <w:autoSpaceDE w:val="0"/>
              <w:autoSpaceDN w:val="0"/>
              <w:adjustRightInd w:val="0"/>
              <w:spacing w:after="0" w:line="276" w:lineRule="auto"/>
              <w:ind w:right="49"/>
              <w:jc w:val="center"/>
              <w:rPr>
                <w:rFonts w:ascii="Book Antiqua" w:hAnsi="Book Antiqua"/>
              </w:rPr>
            </w:pPr>
            <w:r>
              <w:rPr>
                <w:rFonts w:ascii="Book Antiqua" w:hAnsi="Book Antiqua"/>
              </w:rPr>
              <w:object w:dxaOrig="1376" w:dyaOrig="899" w14:anchorId="6C338A99">
                <v:shape id="_x0000_i1042" type="#_x0000_t75" style="width:68.75pt;height:43.85pt" o:ole="">
                  <v:imagedata r:id="rId56" o:title=""/>
                </v:shape>
                <o:OLEObject Type="Embed" ProgID="Excel.Sheet.12" ShapeID="_x0000_i1042" DrawAspect="Icon" ObjectID="_1700915706" r:id="rId57"/>
              </w:object>
            </w:r>
          </w:p>
        </w:tc>
      </w:tr>
      <w:tr w:rsidR="00DA065E" w:rsidRPr="00410ED4" w14:paraId="4BB1C222" w14:textId="77777777" w:rsidTr="001A7BEA">
        <w:trPr>
          <w:tblCellSpacing w:w="1440" w:type="nil"/>
        </w:trPr>
        <w:tc>
          <w:tcPr>
            <w:tcW w:w="810"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2924F4B7" w14:textId="1A4BA405" w:rsidR="00DA065E" w:rsidRDefault="009058E9" w:rsidP="00DA065E">
            <w:pPr>
              <w:rPr>
                <w:rFonts w:ascii="Book Antiqua" w:hAnsi="Book Antiqua"/>
                <w:b/>
                <w:i/>
                <w:color w:val="000000"/>
              </w:rPr>
            </w:pPr>
            <w:r>
              <w:rPr>
                <w:rFonts w:ascii="Book Antiqua" w:hAnsi="Book Antiqua"/>
                <w:b/>
                <w:i/>
                <w:color w:val="000000"/>
              </w:rPr>
              <w:t>Anexo 14</w:t>
            </w:r>
          </w:p>
        </w:tc>
        <w:tc>
          <w:tcPr>
            <w:tcW w:w="2159"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09CCE9B9" w14:textId="499DA716" w:rsidR="00DA065E" w:rsidRPr="00EB031E" w:rsidRDefault="00092DC9" w:rsidP="00EB031E">
            <w:pPr>
              <w:ind w:right="-427"/>
              <w:rPr>
                <w:rFonts w:ascii="Book Antiqua" w:hAnsi="Book Antiqua"/>
              </w:rPr>
            </w:pPr>
            <w:r w:rsidRPr="00EB031E">
              <w:rPr>
                <w:rFonts w:ascii="Book Antiqua" w:hAnsi="Book Antiqua"/>
              </w:rPr>
              <w:t>Informe fue remitido en consulta mediante oficio 708-PLA-MI-2021 remitido por correo electrónico el 25 de junio 2021</w:t>
            </w:r>
          </w:p>
        </w:tc>
        <w:tc>
          <w:tcPr>
            <w:tcW w:w="2031"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152F1E80" w14:textId="14F023D1" w:rsidR="00DA065E" w:rsidRDefault="000A1834" w:rsidP="00DA065E">
            <w:pPr>
              <w:widowControl w:val="0"/>
              <w:autoSpaceDE w:val="0"/>
              <w:autoSpaceDN w:val="0"/>
              <w:adjustRightInd w:val="0"/>
              <w:spacing w:after="0" w:line="276" w:lineRule="auto"/>
              <w:ind w:right="49"/>
              <w:jc w:val="center"/>
              <w:rPr>
                <w:rFonts w:ascii="Book Antiqua" w:hAnsi="Book Antiqua"/>
              </w:rPr>
            </w:pPr>
            <w:r>
              <w:rPr>
                <w:rFonts w:ascii="Book Antiqua" w:hAnsi="Book Antiqua"/>
              </w:rPr>
              <w:object w:dxaOrig="1508" w:dyaOrig="984" w14:anchorId="5B9AC205">
                <v:shape id="_x0000_i1043" type="#_x0000_t75" style="width:75.25pt;height:49.4pt" o:ole="">
                  <v:imagedata r:id="rId58" o:title=""/>
                </v:shape>
                <o:OLEObject Type="Embed" ProgID="Package" ShapeID="_x0000_i1043" DrawAspect="Icon" ObjectID="_1700915707" r:id="rId59"/>
              </w:object>
            </w:r>
          </w:p>
        </w:tc>
      </w:tr>
      <w:tr w:rsidR="00DA065E" w:rsidRPr="00410ED4" w14:paraId="74B3F829" w14:textId="77777777" w:rsidTr="001A7BEA">
        <w:trPr>
          <w:tblCellSpacing w:w="1440" w:type="nil"/>
        </w:trPr>
        <w:tc>
          <w:tcPr>
            <w:tcW w:w="810"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1FEAEAD0" w14:textId="28BAA05E" w:rsidR="00DA065E" w:rsidRPr="00EB031E" w:rsidRDefault="009058E9" w:rsidP="00DA065E">
            <w:pPr>
              <w:rPr>
                <w:rFonts w:ascii="Book Antiqua" w:hAnsi="Book Antiqua" w:cs="Arial"/>
                <w:sz w:val="24"/>
                <w:szCs w:val="24"/>
                <w:lang w:val="es-ES"/>
              </w:rPr>
            </w:pPr>
            <w:r w:rsidRPr="00FF7F8F">
              <w:rPr>
                <w:rFonts w:ascii="Book Antiqua" w:hAnsi="Book Antiqua"/>
                <w:b/>
                <w:i/>
                <w:color w:val="000000"/>
              </w:rPr>
              <w:t xml:space="preserve">Anexo </w:t>
            </w:r>
            <w:r w:rsidRPr="00E84DEA">
              <w:rPr>
                <w:rFonts w:ascii="Book Antiqua" w:hAnsi="Book Antiqua"/>
                <w:b/>
                <w:i/>
                <w:color w:val="000000"/>
              </w:rPr>
              <w:t>15</w:t>
            </w:r>
          </w:p>
        </w:tc>
        <w:tc>
          <w:tcPr>
            <w:tcW w:w="2159"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123EE0BE" w14:textId="79C9B682" w:rsidR="00DA065E" w:rsidRPr="00FF7F8F" w:rsidRDefault="007C23F2" w:rsidP="00DA065E">
            <w:pPr>
              <w:jc w:val="center"/>
              <w:rPr>
                <w:rFonts w:ascii="Book Antiqua" w:hAnsi="Book Antiqua"/>
              </w:rPr>
            </w:pPr>
            <w:r w:rsidRPr="00EB031E">
              <w:rPr>
                <w:rFonts w:ascii="Book Antiqua" w:hAnsi="Book Antiqua"/>
              </w:rPr>
              <w:t xml:space="preserve">Mediante correo electrónico remitido el 2 de julio de 2021por parte de la señora Flor Brenes Hernández </w:t>
            </w:r>
            <w:r w:rsidR="00061E2A" w:rsidRPr="00FF7F8F">
              <w:rPr>
                <w:rFonts w:ascii="Book Antiqua" w:hAnsi="Book Antiqua"/>
              </w:rPr>
              <w:t>secretaria ejecutiva</w:t>
            </w:r>
            <w:r w:rsidRPr="00EB031E">
              <w:rPr>
                <w:rFonts w:ascii="Book Antiqua" w:hAnsi="Book Antiqua"/>
              </w:rPr>
              <w:t xml:space="preserve"> del Centro de Apoyo, Coordinación y Mejoramiento de la Función Jurisdiccional</w:t>
            </w:r>
            <w:r w:rsidR="00061E2A">
              <w:rPr>
                <w:rFonts w:ascii="Book Antiqua" w:hAnsi="Book Antiqua"/>
              </w:rPr>
              <w:t>, se solicita ampliación de plazo.</w:t>
            </w:r>
          </w:p>
        </w:tc>
        <w:tc>
          <w:tcPr>
            <w:tcW w:w="2031"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11408ED3" w14:textId="13F7D38B" w:rsidR="00DA065E" w:rsidRDefault="006F06BE" w:rsidP="00DA065E">
            <w:pPr>
              <w:widowControl w:val="0"/>
              <w:autoSpaceDE w:val="0"/>
              <w:autoSpaceDN w:val="0"/>
              <w:adjustRightInd w:val="0"/>
              <w:spacing w:after="0" w:line="276" w:lineRule="auto"/>
              <w:ind w:right="49"/>
              <w:jc w:val="center"/>
              <w:rPr>
                <w:rFonts w:ascii="Book Antiqua" w:hAnsi="Book Antiqua"/>
              </w:rPr>
            </w:pPr>
            <w:r>
              <w:rPr>
                <w:rFonts w:ascii="Book Antiqua" w:hAnsi="Book Antiqua"/>
              </w:rPr>
              <w:object w:dxaOrig="1508" w:dyaOrig="984" w14:anchorId="77EF8918">
                <v:shape id="_x0000_i1044" type="#_x0000_t75" style="width:75.25pt;height:49.4pt" o:ole="">
                  <v:imagedata r:id="rId60" o:title=""/>
                </v:shape>
                <o:OLEObject Type="Embed" ProgID="Package" ShapeID="_x0000_i1044" DrawAspect="Icon" ObjectID="_1700915708" r:id="rId61"/>
              </w:object>
            </w:r>
          </w:p>
        </w:tc>
      </w:tr>
      <w:tr w:rsidR="00092DC9" w:rsidRPr="00410ED4" w14:paraId="09EF0029" w14:textId="77777777" w:rsidTr="001A7BEA">
        <w:trPr>
          <w:tblCellSpacing w:w="1440" w:type="nil"/>
        </w:trPr>
        <w:tc>
          <w:tcPr>
            <w:tcW w:w="810"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00AE219C" w14:textId="176994FE" w:rsidR="00092DC9" w:rsidRDefault="009058E9" w:rsidP="00092DC9">
            <w:pPr>
              <w:rPr>
                <w:rFonts w:ascii="Book Antiqua" w:hAnsi="Book Antiqua"/>
                <w:b/>
                <w:i/>
                <w:color w:val="000000"/>
              </w:rPr>
            </w:pPr>
            <w:r>
              <w:rPr>
                <w:rFonts w:ascii="Book Antiqua" w:hAnsi="Book Antiqua"/>
                <w:b/>
                <w:i/>
                <w:color w:val="000000"/>
              </w:rPr>
              <w:t>Anexo 16</w:t>
            </w:r>
          </w:p>
        </w:tc>
        <w:tc>
          <w:tcPr>
            <w:tcW w:w="2159"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334C0589" w14:textId="7D786C8A" w:rsidR="00092DC9" w:rsidRDefault="00092DC9" w:rsidP="00092DC9">
            <w:pPr>
              <w:jc w:val="center"/>
              <w:rPr>
                <w:rFonts w:ascii="Book Antiqua" w:hAnsi="Book Antiqua"/>
              </w:rPr>
            </w:pPr>
            <w:r w:rsidRPr="00FF1098">
              <w:rPr>
                <w:rFonts w:ascii="Book Antiqua" w:hAnsi="Book Antiqua"/>
              </w:rPr>
              <w:t>Oficio N°43-CJL-2021</w:t>
            </w:r>
            <w:r>
              <w:rPr>
                <w:rFonts w:ascii="Book Antiqua" w:hAnsi="Book Antiqua"/>
              </w:rPr>
              <w:t xml:space="preserve">, observaciones    de la </w:t>
            </w:r>
            <w:r w:rsidRPr="00FF1098">
              <w:rPr>
                <w:rFonts w:ascii="Book Antiqua" w:hAnsi="Book Antiqua"/>
              </w:rPr>
              <w:t>Comisión de la Jurisdicción Laboral</w:t>
            </w:r>
          </w:p>
        </w:tc>
        <w:tc>
          <w:tcPr>
            <w:tcW w:w="2031"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067D2487" w14:textId="58DF59CC" w:rsidR="00092DC9" w:rsidRDefault="00092DC9" w:rsidP="00092DC9">
            <w:pPr>
              <w:widowControl w:val="0"/>
              <w:autoSpaceDE w:val="0"/>
              <w:autoSpaceDN w:val="0"/>
              <w:adjustRightInd w:val="0"/>
              <w:spacing w:after="0" w:line="276" w:lineRule="auto"/>
              <w:ind w:right="49"/>
              <w:jc w:val="center"/>
              <w:rPr>
                <w:rFonts w:ascii="Book Antiqua" w:hAnsi="Book Antiqua"/>
              </w:rPr>
            </w:pPr>
            <w:r>
              <w:rPr>
                <w:rFonts w:ascii="Book Antiqua" w:hAnsi="Book Antiqua"/>
              </w:rPr>
              <w:object w:dxaOrig="1508" w:dyaOrig="984" w14:anchorId="290FA951">
                <v:shape id="_x0000_i1045" type="#_x0000_t75" style="width:75.25pt;height:49.4pt" o:ole="">
                  <v:imagedata r:id="rId62" o:title=""/>
                </v:shape>
                <o:OLEObject Type="Embed" ProgID="Package" ShapeID="_x0000_i1045" DrawAspect="Icon" ObjectID="_1700915709" r:id="rId63"/>
              </w:object>
            </w:r>
          </w:p>
        </w:tc>
      </w:tr>
      <w:tr w:rsidR="00092DC9" w:rsidRPr="00410ED4" w14:paraId="44571E8B" w14:textId="77777777" w:rsidTr="001A7BEA">
        <w:trPr>
          <w:tblCellSpacing w:w="1440" w:type="nil"/>
        </w:trPr>
        <w:tc>
          <w:tcPr>
            <w:tcW w:w="810"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20CE6045" w14:textId="2CF25856" w:rsidR="00092DC9" w:rsidRDefault="009058E9" w:rsidP="00092DC9">
            <w:pPr>
              <w:rPr>
                <w:rFonts w:ascii="Book Antiqua" w:hAnsi="Book Antiqua"/>
                <w:b/>
                <w:i/>
                <w:color w:val="000000"/>
              </w:rPr>
            </w:pPr>
            <w:r>
              <w:rPr>
                <w:rFonts w:ascii="Book Antiqua" w:hAnsi="Book Antiqua"/>
                <w:b/>
                <w:i/>
                <w:color w:val="000000"/>
              </w:rPr>
              <w:t>Anexo 17</w:t>
            </w:r>
          </w:p>
        </w:tc>
        <w:tc>
          <w:tcPr>
            <w:tcW w:w="2159"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28500A63" w14:textId="2563915D" w:rsidR="00092DC9" w:rsidRDefault="001266B1" w:rsidP="00092DC9">
            <w:pPr>
              <w:jc w:val="center"/>
              <w:rPr>
                <w:rFonts w:ascii="Book Antiqua" w:hAnsi="Book Antiqua"/>
              </w:rPr>
            </w:pPr>
            <w:r>
              <w:rPr>
                <w:rFonts w:ascii="Book Antiqua" w:hAnsi="Book Antiqua"/>
              </w:rPr>
              <w:t xml:space="preserve">Correo electrónico </w:t>
            </w:r>
            <w:r w:rsidR="00491BB3">
              <w:rPr>
                <w:rFonts w:ascii="Book Antiqua" w:hAnsi="Book Antiqua"/>
              </w:rPr>
              <w:t xml:space="preserve">remitido el </w:t>
            </w:r>
            <w:r w:rsidR="00092DC9" w:rsidRPr="00E10EBF">
              <w:rPr>
                <w:rFonts w:ascii="Book Antiqua" w:hAnsi="Book Antiqua"/>
              </w:rPr>
              <w:t>Tribunal de Apelaciones Civil y Laboral del I, II y III Circuito Judicial de Alajuela</w:t>
            </w:r>
          </w:p>
        </w:tc>
        <w:tc>
          <w:tcPr>
            <w:tcW w:w="2031"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21AB5135" w14:textId="2D29F6D0" w:rsidR="00092DC9" w:rsidRDefault="00092DC9" w:rsidP="00092DC9">
            <w:pPr>
              <w:widowControl w:val="0"/>
              <w:autoSpaceDE w:val="0"/>
              <w:autoSpaceDN w:val="0"/>
              <w:adjustRightInd w:val="0"/>
              <w:spacing w:after="0" w:line="276" w:lineRule="auto"/>
              <w:ind w:right="49"/>
              <w:jc w:val="center"/>
              <w:rPr>
                <w:rFonts w:ascii="Book Antiqua" w:hAnsi="Book Antiqua"/>
              </w:rPr>
            </w:pPr>
            <w:r>
              <w:rPr>
                <w:rFonts w:ascii="Book Antiqua" w:hAnsi="Book Antiqua"/>
              </w:rPr>
              <w:object w:dxaOrig="1508" w:dyaOrig="984" w14:anchorId="147A26AA">
                <v:shape id="_x0000_i1046" type="#_x0000_t75" style="width:75.25pt;height:49.4pt" o:ole="">
                  <v:imagedata r:id="rId64" o:title=""/>
                </v:shape>
                <o:OLEObject Type="Embed" ProgID="Package" ShapeID="_x0000_i1046" DrawAspect="Icon" ObjectID="_1700915710" r:id="rId65"/>
              </w:object>
            </w:r>
          </w:p>
        </w:tc>
      </w:tr>
      <w:tr w:rsidR="00092DC9" w:rsidRPr="00410ED4" w14:paraId="6075BEA8" w14:textId="77777777" w:rsidTr="001A7BEA">
        <w:trPr>
          <w:tblCellSpacing w:w="1440" w:type="nil"/>
        </w:trPr>
        <w:tc>
          <w:tcPr>
            <w:tcW w:w="810"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2CB19845" w14:textId="77917FA8" w:rsidR="00092DC9" w:rsidRDefault="009058E9" w:rsidP="00092DC9">
            <w:pPr>
              <w:rPr>
                <w:rFonts w:ascii="Book Antiqua" w:hAnsi="Book Antiqua"/>
                <w:b/>
                <w:i/>
                <w:color w:val="000000"/>
              </w:rPr>
            </w:pPr>
            <w:r>
              <w:rPr>
                <w:rFonts w:ascii="Book Antiqua" w:hAnsi="Book Antiqua"/>
                <w:b/>
                <w:i/>
                <w:color w:val="000000"/>
              </w:rPr>
              <w:t>Anexo 18</w:t>
            </w:r>
          </w:p>
        </w:tc>
        <w:tc>
          <w:tcPr>
            <w:tcW w:w="2159"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342B6BE7" w14:textId="3CD5D68C" w:rsidR="00092DC9" w:rsidRPr="00FF7F8F" w:rsidRDefault="00F97130" w:rsidP="00092DC9">
            <w:pPr>
              <w:jc w:val="center"/>
              <w:rPr>
                <w:rFonts w:ascii="Book Antiqua" w:hAnsi="Book Antiqua"/>
              </w:rPr>
            </w:pPr>
            <w:r>
              <w:rPr>
                <w:rFonts w:ascii="Book Antiqua" w:hAnsi="Book Antiqua"/>
              </w:rPr>
              <w:t xml:space="preserve">Correo electrónico remitido el </w:t>
            </w:r>
            <w:r w:rsidR="00092DC9" w:rsidRPr="005B21CA">
              <w:rPr>
                <w:rFonts w:ascii="Book Antiqua" w:hAnsi="Book Antiqua"/>
              </w:rPr>
              <w:t>Tribunal de Apelación Civil y de Trabajo de Cartago</w:t>
            </w:r>
          </w:p>
        </w:tc>
        <w:tc>
          <w:tcPr>
            <w:tcW w:w="2031"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00D758C9" w14:textId="248B5CFD" w:rsidR="00092DC9" w:rsidRDefault="001B5BC6" w:rsidP="00092DC9">
            <w:pPr>
              <w:widowControl w:val="0"/>
              <w:autoSpaceDE w:val="0"/>
              <w:autoSpaceDN w:val="0"/>
              <w:adjustRightInd w:val="0"/>
              <w:spacing w:after="0" w:line="276" w:lineRule="auto"/>
              <w:ind w:right="49"/>
              <w:jc w:val="center"/>
              <w:rPr>
                <w:rFonts w:ascii="Book Antiqua" w:hAnsi="Book Antiqua"/>
              </w:rPr>
            </w:pPr>
            <w:r>
              <w:rPr>
                <w:rFonts w:ascii="Book Antiqua" w:hAnsi="Book Antiqua"/>
              </w:rPr>
              <w:object w:dxaOrig="1620" w:dyaOrig="830" w14:anchorId="5F7D9872">
                <v:shape id="_x0000_i1047" type="#_x0000_t75" style="width:80.75pt;height:40.6pt" o:ole="">
                  <v:imagedata r:id="rId66" o:title=""/>
                </v:shape>
                <o:OLEObject Type="Embed" ProgID="Package" ShapeID="_x0000_i1047" DrawAspect="Content" ObjectID="_1700915711" r:id="rId67"/>
              </w:object>
            </w:r>
          </w:p>
        </w:tc>
      </w:tr>
      <w:tr w:rsidR="00092DC9" w:rsidRPr="00410ED4" w14:paraId="25083DA9" w14:textId="77777777" w:rsidTr="001A7BEA">
        <w:trPr>
          <w:tblCellSpacing w:w="1440" w:type="nil"/>
        </w:trPr>
        <w:tc>
          <w:tcPr>
            <w:tcW w:w="810"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0D28165B" w14:textId="36B1D614" w:rsidR="00092DC9" w:rsidRDefault="009058E9" w:rsidP="00092DC9">
            <w:pPr>
              <w:rPr>
                <w:rFonts w:ascii="Book Antiqua" w:hAnsi="Book Antiqua"/>
                <w:b/>
                <w:i/>
                <w:color w:val="000000"/>
              </w:rPr>
            </w:pPr>
            <w:r>
              <w:rPr>
                <w:rFonts w:ascii="Book Antiqua" w:hAnsi="Book Antiqua"/>
                <w:b/>
                <w:i/>
                <w:color w:val="000000"/>
              </w:rPr>
              <w:t>Anexo 19</w:t>
            </w:r>
          </w:p>
        </w:tc>
        <w:tc>
          <w:tcPr>
            <w:tcW w:w="2159"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55EE5462" w14:textId="21D7490A" w:rsidR="00092DC9" w:rsidRPr="00FF7F8F" w:rsidRDefault="00F97130" w:rsidP="00092DC9">
            <w:pPr>
              <w:jc w:val="center"/>
              <w:rPr>
                <w:rFonts w:ascii="Book Antiqua" w:hAnsi="Book Antiqua"/>
              </w:rPr>
            </w:pPr>
            <w:r>
              <w:rPr>
                <w:rFonts w:ascii="Book Antiqua" w:hAnsi="Book Antiqua"/>
              </w:rPr>
              <w:t xml:space="preserve">El </w:t>
            </w:r>
            <w:r w:rsidR="00092DC9" w:rsidRPr="0095290A">
              <w:rPr>
                <w:rFonts w:ascii="Book Antiqua" w:hAnsi="Book Antiqua"/>
              </w:rPr>
              <w:t>Centro de Apoyo, Coordinación y Mejoramiento de la Función Jurisdiccional, se remit</w:t>
            </w:r>
            <w:r>
              <w:rPr>
                <w:rFonts w:ascii="Book Antiqua" w:hAnsi="Book Antiqua"/>
              </w:rPr>
              <w:t>ió</w:t>
            </w:r>
            <w:r w:rsidR="00092DC9" w:rsidRPr="0095290A">
              <w:rPr>
                <w:rFonts w:ascii="Book Antiqua" w:hAnsi="Book Antiqua"/>
              </w:rPr>
              <w:t xml:space="preserve"> el oficio No. 215-CACMFJ-JEF-2021</w:t>
            </w:r>
            <w:r>
              <w:rPr>
                <w:rFonts w:ascii="Book Antiqua" w:hAnsi="Book Antiqua"/>
              </w:rPr>
              <w:t xml:space="preserve">, en el cual se remiten observaciones </w:t>
            </w:r>
          </w:p>
        </w:tc>
        <w:tc>
          <w:tcPr>
            <w:tcW w:w="2031" w:type="pct"/>
            <w:tcBorders>
              <w:top w:val="double" w:sz="4" w:space="0" w:color="1F497D" w:themeColor="text2"/>
              <w:left w:val="double" w:sz="4" w:space="0" w:color="1F497D" w:themeColor="text2"/>
              <w:bottom w:val="double" w:sz="4" w:space="0" w:color="1F497D" w:themeColor="text2"/>
              <w:right w:val="double" w:sz="4" w:space="0" w:color="1F497D" w:themeColor="text2"/>
            </w:tcBorders>
            <w:shd w:val="clear" w:color="auto" w:fill="auto"/>
            <w:vAlign w:val="center"/>
          </w:tcPr>
          <w:p w14:paraId="33281DB3" w14:textId="2E5D2F60" w:rsidR="00092DC9" w:rsidRDefault="00CB40A4" w:rsidP="00092DC9">
            <w:pPr>
              <w:widowControl w:val="0"/>
              <w:autoSpaceDE w:val="0"/>
              <w:autoSpaceDN w:val="0"/>
              <w:adjustRightInd w:val="0"/>
              <w:spacing w:after="0" w:line="276" w:lineRule="auto"/>
              <w:ind w:right="49"/>
              <w:jc w:val="center"/>
              <w:rPr>
                <w:rFonts w:ascii="Book Antiqua" w:hAnsi="Book Antiqua"/>
              </w:rPr>
            </w:pPr>
            <w:r>
              <w:rPr>
                <w:rFonts w:ascii="Book Antiqua" w:hAnsi="Book Antiqua"/>
              </w:rPr>
              <w:object w:dxaOrig="1508" w:dyaOrig="984" w14:anchorId="1B721DD8">
                <v:shape id="_x0000_i1048" type="#_x0000_t75" style="width:46.15pt;height:30.9pt" o:ole="">
                  <v:imagedata r:id="rId68" o:title=""/>
                </v:shape>
                <o:OLEObject Type="Embed" ProgID="Package" ShapeID="_x0000_i1048" DrawAspect="Icon" ObjectID="_1700915712" r:id="rId69"/>
              </w:object>
            </w:r>
          </w:p>
        </w:tc>
      </w:tr>
    </w:tbl>
    <w:p w14:paraId="7A1F5559" w14:textId="77777777" w:rsidR="00B979AE" w:rsidRDefault="00B979AE" w:rsidP="00B979AE">
      <w:pPr>
        <w:tabs>
          <w:tab w:val="left" w:pos="936"/>
        </w:tabs>
        <w:rPr>
          <w:rFonts w:ascii="Book Antiqua" w:hAnsi="Book Antiqua"/>
        </w:rPr>
      </w:pPr>
    </w:p>
    <w:p w14:paraId="41AA97F1" w14:textId="4893DD2E" w:rsidR="00D41D5E" w:rsidRDefault="00D41D5E" w:rsidP="00B979AE">
      <w:pPr>
        <w:tabs>
          <w:tab w:val="left" w:pos="936"/>
        </w:tabs>
        <w:rPr>
          <w:rFonts w:ascii="Book Antiqua" w:hAnsi="Book Antiqua"/>
        </w:rPr>
      </w:pPr>
    </w:p>
    <w:tbl>
      <w:tblPr>
        <w:tblStyle w:val="Tablaconcuadrcula"/>
        <w:tblW w:w="0" w:type="auto"/>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837"/>
        <w:gridCol w:w="6971"/>
      </w:tblGrid>
      <w:tr w:rsidR="00D41D5E" w14:paraId="73A55357" w14:textId="77777777" w:rsidTr="00FA5504">
        <w:tc>
          <w:tcPr>
            <w:tcW w:w="1838" w:type="dxa"/>
            <w:shd w:val="clear" w:color="auto" w:fill="215868" w:themeFill="accent5" w:themeFillShade="80"/>
            <w:vAlign w:val="center"/>
          </w:tcPr>
          <w:p w14:paraId="687021A5" w14:textId="77777777" w:rsidR="00D41D5E" w:rsidRPr="00FA5504" w:rsidRDefault="00D41D5E" w:rsidP="00EB031E">
            <w:pPr>
              <w:spacing w:line="276" w:lineRule="auto"/>
              <w:jc w:val="both"/>
              <w:rPr>
                <w:rFonts w:ascii="Book Antiqua" w:hAnsi="Book Antiqua" w:cs="Book Antiqua"/>
                <w:color w:val="FFFFFF" w:themeColor="background1"/>
                <w:sz w:val="24"/>
                <w:szCs w:val="24"/>
              </w:rPr>
            </w:pPr>
            <w:r w:rsidRPr="00FA5504">
              <w:rPr>
                <w:rFonts w:ascii="Book Antiqua" w:hAnsi="Book Antiqua" w:cs="Book Antiqua"/>
                <w:color w:val="FFFFFF" w:themeColor="background1"/>
                <w:sz w:val="24"/>
                <w:szCs w:val="24"/>
              </w:rPr>
              <w:t xml:space="preserve">Elaborado </w:t>
            </w:r>
          </w:p>
        </w:tc>
        <w:tc>
          <w:tcPr>
            <w:tcW w:w="6990" w:type="dxa"/>
            <w:vAlign w:val="center"/>
          </w:tcPr>
          <w:p w14:paraId="30C794D4" w14:textId="6D568B06" w:rsidR="00D41D5E" w:rsidRDefault="00D41D5E" w:rsidP="00EB031E">
            <w:pPr>
              <w:spacing w:line="276" w:lineRule="auto"/>
              <w:jc w:val="both"/>
              <w:rPr>
                <w:rFonts w:ascii="Book Antiqua" w:hAnsi="Book Antiqua" w:cs="Book Antiqua"/>
                <w:sz w:val="24"/>
                <w:szCs w:val="24"/>
              </w:rPr>
            </w:pPr>
            <w:r>
              <w:rPr>
                <w:rFonts w:ascii="Book Antiqua" w:hAnsi="Book Antiqua" w:cs="Book Antiqua"/>
                <w:sz w:val="24"/>
                <w:szCs w:val="24"/>
              </w:rPr>
              <w:t xml:space="preserve">Licda. </w:t>
            </w:r>
            <w:r w:rsidR="00AE0C4A">
              <w:rPr>
                <w:rFonts w:ascii="Book Antiqua" w:hAnsi="Book Antiqua" w:cs="Book Antiqua"/>
                <w:sz w:val="24"/>
                <w:szCs w:val="24"/>
              </w:rPr>
              <w:t xml:space="preserve">María </w:t>
            </w:r>
            <w:r>
              <w:rPr>
                <w:rFonts w:ascii="Book Antiqua" w:hAnsi="Book Antiqua" w:cs="Book Antiqua"/>
                <w:sz w:val="24"/>
                <w:szCs w:val="24"/>
              </w:rPr>
              <w:t>Alejandra Morales Vargas, Profesional 2 del Subproceso de Modernización Institucional</w:t>
            </w:r>
          </w:p>
        </w:tc>
      </w:tr>
      <w:tr w:rsidR="00D41D5E" w14:paraId="617247C6" w14:textId="77777777" w:rsidTr="00FA5504">
        <w:tc>
          <w:tcPr>
            <w:tcW w:w="1838" w:type="dxa"/>
            <w:shd w:val="clear" w:color="auto" w:fill="215868" w:themeFill="accent5" w:themeFillShade="80"/>
            <w:vAlign w:val="center"/>
          </w:tcPr>
          <w:p w14:paraId="287B3801" w14:textId="77777777" w:rsidR="00D41D5E" w:rsidRPr="00FA5504" w:rsidRDefault="00D41D5E" w:rsidP="00EB031E">
            <w:pPr>
              <w:spacing w:line="276" w:lineRule="auto"/>
              <w:jc w:val="both"/>
              <w:rPr>
                <w:rFonts w:ascii="Book Antiqua" w:hAnsi="Book Antiqua" w:cs="Book Antiqua"/>
                <w:color w:val="FFFFFF" w:themeColor="background1"/>
                <w:sz w:val="24"/>
                <w:szCs w:val="24"/>
              </w:rPr>
            </w:pPr>
            <w:r w:rsidRPr="00FA5504">
              <w:rPr>
                <w:rFonts w:ascii="Book Antiqua" w:hAnsi="Book Antiqua" w:cs="Book Antiqua"/>
                <w:color w:val="FFFFFF" w:themeColor="background1"/>
                <w:sz w:val="24"/>
                <w:szCs w:val="24"/>
              </w:rPr>
              <w:t xml:space="preserve">Revisado </w:t>
            </w:r>
          </w:p>
        </w:tc>
        <w:tc>
          <w:tcPr>
            <w:tcW w:w="6990" w:type="dxa"/>
            <w:vAlign w:val="center"/>
          </w:tcPr>
          <w:p w14:paraId="1A203A89" w14:textId="4195BF61" w:rsidR="00D41D5E" w:rsidRDefault="00D41D5E" w:rsidP="00EB031E">
            <w:pPr>
              <w:spacing w:line="276" w:lineRule="auto"/>
              <w:jc w:val="both"/>
              <w:rPr>
                <w:rFonts w:ascii="Book Antiqua" w:hAnsi="Book Antiqua" w:cs="Book Antiqua"/>
                <w:sz w:val="24"/>
                <w:szCs w:val="24"/>
              </w:rPr>
            </w:pPr>
            <w:r>
              <w:rPr>
                <w:rFonts w:ascii="Book Antiqua" w:hAnsi="Book Antiqua" w:cs="Book Antiqua"/>
                <w:sz w:val="24"/>
                <w:szCs w:val="24"/>
              </w:rPr>
              <w:t xml:space="preserve">Inga. Lucía Zeledón </w:t>
            </w:r>
            <w:r w:rsidRPr="00EC78A8">
              <w:rPr>
                <w:rFonts w:ascii="Book Antiqua" w:hAnsi="Book Antiqua" w:cs="Book Antiqua"/>
                <w:sz w:val="24"/>
                <w:szCs w:val="24"/>
              </w:rPr>
              <w:t>Quirós, Coordinadora 3</w:t>
            </w:r>
            <w:r w:rsidR="00EC78A8">
              <w:rPr>
                <w:rFonts w:ascii="Book Antiqua" w:hAnsi="Book Antiqua" w:cs="Book Antiqua"/>
                <w:sz w:val="24"/>
                <w:szCs w:val="24"/>
              </w:rPr>
              <w:t xml:space="preserve">; </w:t>
            </w:r>
            <w:r w:rsidR="00697A6C">
              <w:rPr>
                <w:rFonts w:ascii="Book Antiqua" w:hAnsi="Book Antiqua" w:cs="Book Antiqua"/>
                <w:sz w:val="24"/>
                <w:szCs w:val="24"/>
              </w:rPr>
              <w:t>Licda. Melissa Durán Gambo</w:t>
            </w:r>
            <w:r w:rsidR="00CB40A4">
              <w:rPr>
                <w:rFonts w:ascii="Book Antiqua" w:hAnsi="Book Antiqua" w:cs="Book Antiqua"/>
                <w:sz w:val="24"/>
                <w:szCs w:val="24"/>
              </w:rPr>
              <w:t>a</w:t>
            </w:r>
            <w:r w:rsidR="00697A6C">
              <w:rPr>
                <w:rFonts w:ascii="Book Antiqua" w:hAnsi="Book Antiqua" w:cs="Book Antiqua"/>
                <w:sz w:val="24"/>
                <w:szCs w:val="24"/>
              </w:rPr>
              <w:t>, Profesional 2 del Subproceso de Modernización Institucional</w:t>
            </w:r>
          </w:p>
        </w:tc>
      </w:tr>
      <w:tr w:rsidR="00D41D5E" w14:paraId="37EC1708" w14:textId="77777777" w:rsidTr="00FA5504">
        <w:tc>
          <w:tcPr>
            <w:tcW w:w="1838" w:type="dxa"/>
            <w:shd w:val="clear" w:color="auto" w:fill="215868" w:themeFill="accent5" w:themeFillShade="80"/>
            <w:vAlign w:val="center"/>
          </w:tcPr>
          <w:p w14:paraId="783864FF" w14:textId="77777777" w:rsidR="00D41D5E" w:rsidRPr="00FA5504" w:rsidRDefault="00D41D5E" w:rsidP="00EB031E">
            <w:pPr>
              <w:spacing w:line="276" w:lineRule="auto"/>
              <w:jc w:val="both"/>
              <w:rPr>
                <w:rFonts w:ascii="Book Antiqua" w:hAnsi="Book Antiqua" w:cs="Book Antiqua"/>
                <w:color w:val="FFFFFF" w:themeColor="background1"/>
                <w:sz w:val="24"/>
                <w:szCs w:val="24"/>
              </w:rPr>
            </w:pPr>
            <w:r w:rsidRPr="00FA5504">
              <w:rPr>
                <w:rFonts w:ascii="Book Antiqua" w:hAnsi="Book Antiqua" w:cs="Book Antiqua"/>
                <w:color w:val="FFFFFF" w:themeColor="background1"/>
                <w:sz w:val="24"/>
                <w:szCs w:val="24"/>
              </w:rPr>
              <w:t>Aprobado</w:t>
            </w:r>
          </w:p>
        </w:tc>
        <w:tc>
          <w:tcPr>
            <w:tcW w:w="6990" w:type="dxa"/>
            <w:vAlign w:val="center"/>
          </w:tcPr>
          <w:p w14:paraId="26878452" w14:textId="72E6A9F5" w:rsidR="00D41D5E" w:rsidRDefault="00D41D5E" w:rsidP="00EB031E">
            <w:pPr>
              <w:spacing w:line="276" w:lineRule="auto"/>
              <w:jc w:val="both"/>
              <w:rPr>
                <w:rFonts w:ascii="Book Antiqua" w:hAnsi="Book Antiqua" w:cs="Book Antiqua"/>
                <w:sz w:val="24"/>
                <w:szCs w:val="24"/>
              </w:rPr>
            </w:pPr>
            <w:r>
              <w:rPr>
                <w:rFonts w:ascii="Book Antiqua" w:hAnsi="Book Antiqua" w:cs="Book Antiqua"/>
                <w:sz w:val="24"/>
                <w:szCs w:val="24"/>
              </w:rPr>
              <w:t>Ing. Jorge Fernando Rodríguez Salazar, Jefe a.</w:t>
            </w:r>
            <w:r w:rsidR="00995087">
              <w:rPr>
                <w:rFonts w:ascii="Book Antiqua" w:hAnsi="Book Antiqua" w:cs="Book Antiqua"/>
                <w:sz w:val="24"/>
                <w:szCs w:val="24"/>
              </w:rPr>
              <w:t>i.</w:t>
            </w:r>
            <w:r>
              <w:rPr>
                <w:rFonts w:ascii="Book Antiqua" w:hAnsi="Book Antiqua" w:cs="Book Antiqua"/>
                <w:sz w:val="24"/>
                <w:szCs w:val="24"/>
              </w:rPr>
              <w:t xml:space="preserve"> del Subproceso de Evaluación</w:t>
            </w:r>
          </w:p>
        </w:tc>
      </w:tr>
      <w:tr w:rsidR="00D41D5E" w14:paraId="4B8FF832" w14:textId="77777777" w:rsidTr="00FA5504">
        <w:tc>
          <w:tcPr>
            <w:tcW w:w="1838" w:type="dxa"/>
            <w:shd w:val="clear" w:color="auto" w:fill="215868" w:themeFill="accent5" w:themeFillShade="80"/>
            <w:vAlign w:val="center"/>
          </w:tcPr>
          <w:p w14:paraId="773C4E31" w14:textId="77777777" w:rsidR="00D41D5E" w:rsidRPr="00FA5504" w:rsidRDefault="00D41D5E" w:rsidP="00EB031E">
            <w:pPr>
              <w:spacing w:line="276" w:lineRule="auto"/>
              <w:jc w:val="both"/>
              <w:rPr>
                <w:rFonts w:ascii="Book Antiqua" w:hAnsi="Book Antiqua" w:cs="Book Antiqua"/>
                <w:color w:val="FFFFFF" w:themeColor="background1"/>
                <w:sz w:val="24"/>
                <w:szCs w:val="24"/>
              </w:rPr>
            </w:pPr>
            <w:r w:rsidRPr="00FA5504">
              <w:rPr>
                <w:rFonts w:ascii="Book Antiqua" w:hAnsi="Book Antiqua" w:cs="Book Antiqua"/>
                <w:color w:val="FFFFFF" w:themeColor="background1"/>
                <w:sz w:val="24"/>
                <w:szCs w:val="24"/>
              </w:rPr>
              <w:t>Autorizado</w:t>
            </w:r>
          </w:p>
        </w:tc>
        <w:tc>
          <w:tcPr>
            <w:tcW w:w="6990" w:type="dxa"/>
            <w:vAlign w:val="center"/>
          </w:tcPr>
          <w:p w14:paraId="5F90A828" w14:textId="7014F493" w:rsidR="00D41D5E" w:rsidRDefault="00D41D5E" w:rsidP="00EB031E">
            <w:pPr>
              <w:spacing w:line="276" w:lineRule="auto"/>
              <w:jc w:val="both"/>
              <w:rPr>
                <w:rFonts w:ascii="Book Antiqua" w:hAnsi="Book Antiqua" w:cs="Book Antiqua"/>
                <w:sz w:val="24"/>
                <w:szCs w:val="24"/>
              </w:rPr>
            </w:pPr>
            <w:r>
              <w:rPr>
                <w:rFonts w:ascii="Book Antiqua" w:hAnsi="Book Antiqua" w:cs="Book Antiqua"/>
                <w:sz w:val="24"/>
                <w:szCs w:val="24"/>
              </w:rPr>
              <w:t>Ing. Dixon Li Morales</w:t>
            </w:r>
            <w:r w:rsidRPr="00416079">
              <w:rPr>
                <w:rFonts w:ascii="Book Antiqua" w:hAnsi="Book Antiqua" w:cs="Book Antiqua"/>
                <w:sz w:val="24"/>
                <w:szCs w:val="24"/>
              </w:rPr>
              <w:t>, Jefe</w:t>
            </w:r>
            <w:r w:rsidR="00995087">
              <w:rPr>
                <w:rFonts w:ascii="Book Antiqua" w:hAnsi="Book Antiqua" w:cs="Book Antiqua"/>
                <w:sz w:val="24"/>
                <w:szCs w:val="24"/>
              </w:rPr>
              <w:t xml:space="preserve"> a.i.</w:t>
            </w:r>
            <w:r w:rsidRPr="00416079">
              <w:rPr>
                <w:rFonts w:ascii="Book Antiqua" w:hAnsi="Book Antiqua" w:cs="Book Antiqua"/>
                <w:sz w:val="24"/>
                <w:szCs w:val="24"/>
              </w:rPr>
              <w:t xml:space="preserve"> del Proceso de </w:t>
            </w:r>
            <w:r>
              <w:rPr>
                <w:rFonts w:ascii="Book Antiqua" w:hAnsi="Book Antiqua" w:cs="Book Antiqua"/>
                <w:sz w:val="24"/>
                <w:szCs w:val="24"/>
              </w:rPr>
              <w:t>Ejecución de las Operaciones</w:t>
            </w:r>
          </w:p>
        </w:tc>
      </w:tr>
    </w:tbl>
    <w:p w14:paraId="28536511" w14:textId="47EF4779" w:rsidR="00DA5781" w:rsidRPr="005B066B" w:rsidRDefault="00DA5781" w:rsidP="00574620">
      <w:pPr>
        <w:rPr>
          <w:rFonts w:ascii="Book Antiqua" w:hAnsi="Book Antiqua"/>
        </w:rPr>
      </w:pPr>
    </w:p>
    <w:sectPr w:rsidR="00DA5781" w:rsidRPr="005B066B" w:rsidSect="00623DE3">
      <w:headerReference w:type="even" r:id="rId70"/>
      <w:headerReference w:type="default" r:id="rId71"/>
      <w:footerReference w:type="default" r:id="rId72"/>
      <w:headerReference w:type="first" r:id="rId73"/>
      <w:pgSz w:w="12240" w:h="15840"/>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E2E46D" w14:textId="77777777" w:rsidR="00091A3D" w:rsidRDefault="00091A3D" w:rsidP="00667189">
      <w:pPr>
        <w:spacing w:after="0" w:line="240" w:lineRule="auto"/>
      </w:pPr>
      <w:r>
        <w:separator/>
      </w:r>
    </w:p>
  </w:endnote>
  <w:endnote w:type="continuationSeparator" w:id="0">
    <w:p w14:paraId="6A160FBB" w14:textId="77777777" w:rsidR="00091A3D" w:rsidRDefault="00091A3D" w:rsidP="00667189">
      <w:pPr>
        <w:spacing w:after="0" w:line="240" w:lineRule="auto"/>
      </w:pPr>
      <w:r>
        <w:continuationSeparator/>
      </w:r>
    </w:p>
  </w:endnote>
  <w:endnote w:type="continuationNotice" w:id="1">
    <w:p w14:paraId="55984182" w14:textId="77777777" w:rsidR="00091A3D" w:rsidRDefault="00091A3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17liplefpjlkmcf">
    <w:altName w:val="Calibri"/>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7" w:name="_Hlk75508557" w:displacedByCustomXml="next"/>
  <w:sdt>
    <w:sdtPr>
      <w:id w:val="1666056593"/>
      <w:docPartObj>
        <w:docPartGallery w:val="Page Numbers (Bottom of Page)"/>
        <w:docPartUnique/>
      </w:docPartObj>
    </w:sdtPr>
    <w:sdtEndPr/>
    <w:sdtContent>
      <w:p w14:paraId="3CFE3F20" w14:textId="77777777" w:rsidR="00F32D00" w:rsidRDefault="00F32D00" w:rsidP="00392F37">
        <w:pPr>
          <w:pBdr>
            <w:top w:val="single" w:sz="4" w:space="1" w:color="auto"/>
          </w:pBdr>
          <w:spacing w:after="0"/>
          <w:ind w:right="357"/>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w:t>
        </w:r>
      </w:p>
      <w:p w14:paraId="30C50158" w14:textId="68FDEE97" w:rsidR="00F32D00" w:rsidRPr="0036463A" w:rsidRDefault="00F32D00" w:rsidP="00392F37">
        <w:pPr>
          <w:pBdr>
            <w:top w:val="single" w:sz="4" w:space="1" w:color="auto"/>
          </w:pBdr>
          <w:spacing w:after="0"/>
          <w:ind w:right="357"/>
          <w:jc w:val="center"/>
          <w:rPr>
            <w:rFonts w:ascii="Book Antiqua" w:hAnsi="Book Antiqua"/>
            <w:b/>
            <w:bCs/>
            <w:color w:val="000000"/>
            <w:sz w:val="24"/>
            <w:szCs w:val="24"/>
          </w:rPr>
        </w:pPr>
        <w:r w:rsidRPr="0036463A">
          <w:rPr>
            <w:rFonts w:ascii="Book Antiqua" w:hAnsi="Book Antiqua"/>
            <w:b/>
            <w:bCs/>
            <w:color w:val="000000"/>
            <w:sz w:val="24"/>
            <w:szCs w:val="24"/>
          </w:rPr>
          <w:t>con proyección e innovación</w:t>
        </w:r>
      </w:p>
      <w:bookmarkEnd w:id="7"/>
      <w:p w14:paraId="0E94EC6D" w14:textId="10D14F36" w:rsidR="00F32D00" w:rsidRDefault="00F32D00">
        <w:pPr>
          <w:pStyle w:val="Piedepgina"/>
          <w:jc w:val="right"/>
        </w:pPr>
        <w:r>
          <w:fldChar w:fldCharType="begin"/>
        </w:r>
        <w:r>
          <w:instrText>PAGE   \* MERGEFORMAT</w:instrText>
        </w:r>
        <w:r>
          <w:fldChar w:fldCharType="separate"/>
        </w:r>
        <w:r>
          <w:rPr>
            <w:lang w:val="es-ES"/>
          </w:rPr>
          <w:t>2</w:t>
        </w:r>
        <w:r>
          <w:fldChar w:fldCharType="end"/>
        </w:r>
      </w:p>
    </w:sdtContent>
  </w:sdt>
  <w:p w14:paraId="25D09CCF" w14:textId="1AF6F154" w:rsidR="00F32D00" w:rsidRDefault="00F32D0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1241113"/>
      <w:docPartObj>
        <w:docPartGallery w:val="Page Numbers (Bottom of Page)"/>
        <w:docPartUnique/>
      </w:docPartObj>
    </w:sdtPr>
    <w:sdtEndPr>
      <w:rPr>
        <w:rFonts w:ascii="Book Antiqua" w:hAnsi="Book Antiqua"/>
      </w:rPr>
    </w:sdtEndPr>
    <w:sdtContent>
      <w:p w14:paraId="6975269D" w14:textId="77777777" w:rsidR="00F32D00" w:rsidRDefault="00F32D00" w:rsidP="00367B1E">
        <w:pPr>
          <w:pBdr>
            <w:top w:val="single" w:sz="4" w:space="1" w:color="auto"/>
          </w:pBdr>
          <w:spacing w:after="0"/>
          <w:ind w:right="357"/>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w:t>
        </w:r>
      </w:p>
      <w:p w14:paraId="4E5747E6" w14:textId="77777777" w:rsidR="00F32D00" w:rsidRPr="0036463A" w:rsidRDefault="00F32D00" w:rsidP="00367B1E">
        <w:pPr>
          <w:pBdr>
            <w:top w:val="single" w:sz="4" w:space="1" w:color="auto"/>
          </w:pBdr>
          <w:spacing w:after="0"/>
          <w:ind w:right="357"/>
          <w:jc w:val="center"/>
          <w:rPr>
            <w:rFonts w:ascii="Book Antiqua" w:hAnsi="Book Antiqua"/>
            <w:b/>
            <w:bCs/>
            <w:color w:val="000000"/>
            <w:sz w:val="24"/>
            <w:szCs w:val="24"/>
          </w:rPr>
        </w:pPr>
        <w:r w:rsidRPr="0036463A">
          <w:rPr>
            <w:rFonts w:ascii="Book Antiqua" w:hAnsi="Book Antiqua"/>
            <w:b/>
            <w:bCs/>
            <w:color w:val="000000"/>
            <w:sz w:val="24"/>
            <w:szCs w:val="24"/>
          </w:rPr>
          <w:t>con proyección e innovación</w:t>
        </w:r>
      </w:p>
      <w:p w14:paraId="15D43E35" w14:textId="056E2DDB" w:rsidR="00F32D00" w:rsidRDefault="00F32D00">
        <w:pPr>
          <w:pStyle w:val="Piedepgina"/>
          <w:jc w:val="right"/>
        </w:pPr>
      </w:p>
      <w:p w14:paraId="41D718C7" w14:textId="3E4C7293" w:rsidR="00F32D00" w:rsidRPr="00A92BD5" w:rsidRDefault="00F32D00">
        <w:pPr>
          <w:pStyle w:val="Piedepgina"/>
          <w:jc w:val="right"/>
          <w:rPr>
            <w:rFonts w:ascii="Book Antiqua" w:hAnsi="Book Antiqua"/>
          </w:rPr>
        </w:pPr>
        <w:r w:rsidRPr="00A92BD5">
          <w:rPr>
            <w:rFonts w:ascii="Book Antiqua" w:hAnsi="Book Antiqua"/>
          </w:rPr>
          <w:fldChar w:fldCharType="begin"/>
        </w:r>
        <w:r w:rsidRPr="00A92BD5">
          <w:rPr>
            <w:rFonts w:ascii="Book Antiqua" w:hAnsi="Book Antiqua"/>
          </w:rPr>
          <w:instrText>PAGE   \* MERGEFORMAT</w:instrText>
        </w:r>
        <w:r w:rsidRPr="00A92BD5">
          <w:rPr>
            <w:rFonts w:ascii="Book Antiqua" w:hAnsi="Book Antiqua"/>
          </w:rPr>
          <w:fldChar w:fldCharType="separate"/>
        </w:r>
        <w:r w:rsidRPr="00A92BD5">
          <w:rPr>
            <w:rFonts w:ascii="Book Antiqua" w:hAnsi="Book Antiqua"/>
            <w:lang w:val="es-ES"/>
          </w:rPr>
          <w:t>2</w:t>
        </w:r>
        <w:r w:rsidRPr="00A92BD5">
          <w:rPr>
            <w:rFonts w:ascii="Book Antiqua" w:hAnsi="Book Antiqua"/>
          </w:rPr>
          <w:fldChar w:fldCharType="end"/>
        </w:r>
      </w:p>
    </w:sdtContent>
  </w:sdt>
  <w:p w14:paraId="4C1E7BB3" w14:textId="77777777" w:rsidR="00F32D00" w:rsidRDefault="00F32D0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D6EBFA" w14:textId="77777777" w:rsidR="00091A3D" w:rsidRDefault="00091A3D" w:rsidP="00667189">
      <w:pPr>
        <w:spacing w:after="0" w:line="240" w:lineRule="auto"/>
      </w:pPr>
      <w:r>
        <w:separator/>
      </w:r>
    </w:p>
  </w:footnote>
  <w:footnote w:type="continuationSeparator" w:id="0">
    <w:p w14:paraId="0439E4AC" w14:textId="77777777" w:rsidR="00091A3D" w:rsidRDefault="00091A3D" w:rsidP="00667189">
      <w:pPr>
        <w:spacing w:after="0" w:line="240" w:lineRule="auto"/>
      </w:pPr>
      <w:r>
        <w:continuationSeparator/>
      </w:r>
    </w:p>
  </w:footnote>
  <w:footnote w:type="continuationNotice" w:id="1">
    <w:p w14:paraId="5831B051" w14:textId="77777777" w:rsidR="00091A3D" w:rsidRDefault="00091A3D">
      <w:pPr>
        <w:spacing w:after="0" w:line="240" w:lineRule="auto"/>
      </w:pPr>
    </w:p>
  </w:footnote>
  <w:footnote w:id="2">
    <w:p w14:paraId="67AA2BFB" w14:textId="575F771C" w:rsidR="00F32D00" w:rsidRPr="00EB031E" w:rsidRDefault="00F32D00" w:rsidP="00EB031E">
      <w:pPr>
        <w:pStyle w:val="Textonotapie"/>
        <w:jc w:val="both"/>
        <w:rPr>
          <w:lang w:val="es-ES"/>
        </w:rPr>
      </w:pPr>
      <w:r>
        <w:rPr>
          <w:rStyle w:val="Refdenotaalpie"/>
        </w:rPr>
        <w:footnoteRef/>
      </w:r>
      <w:r>
        <w:t xml:space="preserve"> </w:t>
      </w:r>
      <w:r w:rsidRPr="00EB031E">
        <w:rPr>
          <w:rFonts w:ascii="Book Antiqua" w:hAnsi="Book Antiqua"/>
          <w:sz w:val="18"/>
          <w:szCs w:val="18"/>
          <w:lang w:val="es-ES"/>
        </w:rPr>
        <w:t>Plan de trabajo aprobado hasta junio 2022, oficio de la Dirección de Planificación 673-PLA-2021, aprobado por Corte Plena en sesión ° 28-2021 celebrada el 05 de julio de 2021, artículo IV y por Consejo Superior en sesión 59-2021 celebrada el 15 de julio del 2021, artículo LVI.</w:t>
      </w:r>
      <w:r w:rsidRPr="00EB031E">
        <w:rPr>
          <w:sz w:val="18"/>
          <w:szCs w:val="18"/>
          <w:lang w:val="es-E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55EB4" w14:textId="13A149C1" w:rsidR="00F32D00" w:rsidRDefault="00F32D00" w:rsidP="00724949">
    <w:pPr>
      <w:pStyle w:val="Encabezado"/>
      <w:tabs>
        <w:tab w:val="center" w:pos="8804"/>
        <w:tab w:val="right" w:pos="8875"/>
      </w:tabs>
      <w:jc w:val="center"/>
      <w:rPr>
        <w:rFonts w:ascii="Book Antiqua" w:hAnsi="Book Antiqua" w:cs="Book Antiqua"/>
        <w:i/>
        <w:iCs/>
        <w:sz w:val="18"/>
        <w:szCs w:val="18"/>
      </w:rPr>
    </w:pPr>
    <w:bookmarkStart w:id="6" w:name="_Hlk75508449"/>
    <w:r>
      <w:rPr>
        <w:rFonts w:ascii="Book Antiqua" w:hAnsi="Book Antiqua" w:cs="Book Antiqua"/>
        <w:i/>
        <w:iCs/>
        <w:sz w:val="18"/>
        <w:szCs w:val="18"/>
      </w:rPr>
      <w:t>Dirección de Planificación</w:t>
    </w:r>
    <w:r w:rsidRPr="005E1974">
      <w:rPr>
        <w:sz w:val="24"/>
        <w:szCs w:val="24"/>
      </w:rPr>
      <w:object w:dxaOrig="1845" w:dyaOrig="2145" w14:anchorId="2708E2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1pt;height:29.1pt" o:ole="">
          <v:imagedata r:id="rId1" o:title=""/>
        </v:shape>
        <o:OLEObject Type="Embed" ProgID="PBrush" ShapeID="_x0000_i1025" DrawAspect="Content" ObjectID="_1700915713" r:id="rId2"/>
      </w:object>
    </w:r>
  </w:p>
  <w:p w14:paraId="6C6EE6F2" w14:textId="2D972843" w:rsidR="00F32D00" w:rsidRDefault="00F32D00" w:rsidP="00724949">
    <w:pPr>
      <w:pStyle w:val="Encabezado"/>
      <w:tabs>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759EBDA8" w14:textId="1AF06031" w:rsidR="00F32D00" w:rsidRPr="005B3B0C" w:rsidRDefault="00F32D00" w:rsidP="00724949">
    <w:pPr>
      <w:pStyle w:val="Encabezado"/>
      <w:jc w:val="center"/>
      <w:rPr>
        <w:lang w:val="en-US"/>
      </w:rPr>
    </w:pPr>
    <w:r w:rsidRPr="00190583">
      <w:rPr>
        <w:rFonts w:ascii="Book Antiqua" w:hAnsi="Book Antiqua" w:cs="Book Antiqua"/>
        <w:i/>
        <w:iCs/>
        <w:sz w:val="18"/>
        <w:szCs w:val="18"/>
        <w:lang w:val="en-US"/>
      </w:rPr>
      <w:t xml:space="preserve">Telf.   </w:t>
    </w:r>
    <w:r>
      <w:rPr>
        <w:rFonts w:ascii="Book Antiqua" w:hAnsi="Book Antiqua" w:cs="Book Antiqua"/>
        <w:i/>
        <w:iCs/>
        <w:sz w:val="18"/>
        <w:szCs w:val="18"/>
        <w:lang w:val="en-US"/>
      </w:rPr>
      <w:t xml:space="preserve">2295-3600 / 3599 / Apdo.  95-1003 / </w:t>
    </w:r>
    <w:r w:rsidRPr="005B3B0C">
      <w:rPr>
        <w:rFonts w:ascii="Book Antiqua" w:hAnsi="Book Antiqua" w:cs="Book Antiqua"/>
        <w:i/>
        <w:iCs/>
        <w:sz w:val="18"/>
        <w:szCs w:val="18"/>
        <w:lang w:val="en-US"/>
      </w:rPr>
      <w:t>planificacion@poder-judicial.go.cr</w:t>
    </w:r>
  </w:p>
  <w:p w14:paraId="65DEDE06" w14:textId="77777777" w:rsidR="00F32D00" w:rsidRPr="005B3B0C" w:rsidRDefault="00F32D00" w:rsidP="00724949">
    <w:pPr>
      <w:pBdr>
        <w:bottom w:val="single" w:sz="6" w:space="0" w:color="auto"/>
      </w:pBdr>
      <w:spacing w:after="20"/>
      <w:jc w:val="center"/>
      <w:rPr>
        <w:lang w:val="en-US"/>
      </w:rPr>
    </w:pPr>
  </w:p>
  <w:bookmarkEnd w:id="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69BA7D" w14:textId="2C6E5C74" w:rsidR="00F32D00" w:rsidRDefault="00F32D00">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039869" w14:textId="20DD9D31" w:rsidR="00F32D00" w:rsidRDefault="00F32D00" w:rsidP="00667189">
    <w:pPr>
      <w:pStyle w:val="Encabezado"/>
    </w:pPr>
    <w:bookmarkStart w:id="23" w:name="_Hlk521673974"/>
    <w:bookmarkStart w:id="24" w:name="_Hlk521673997"/>
    <w:bookmarkStart w:id="25" w:name="_Hlk521673998"/>
  </w:p>
  <w:bookmarkEnd w:id="23"/>
  <w:bookmarkEnd w:id="24"/>
  <w:bookmarkEnd w:id="25"/>
  <w:p w14:paraId="21B73A68" w14:textId="77777777" w:rsidR="00F32D00" w:rsidRDefault="00F32D00" w:rsidP="009D4A82">
    <w:pPr>
      <w:pStyle w:val="Encabezado"/>
      <w:tabs>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Dirección de Planificación</w:t>
    </w:r>
    <w:r w:rsidRPr="005E1974">
      <w:rPr>
        <w:sz w:val="24"/>
        <w:szCs w:val="24"/>
      </w:rPr>
      <w:object w:dxaOrig="1845" w:dyaOrig="2145" w14:anchorId="5BA9F2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25.85pt;height:30pt" o:ole="">
          <v:imagedata r:id="rId1" o:title=""/>
        </v:shape>
        <o:OLEObject Type="Embed" ProgID="PBrush" ShapeID="_x0000_i1049" DrawAspect="Content" ObjectID="_1700915714" r:id="rId2"/>
      </w:object>
    </w:r>
  </w:p>
  <w:p w14:paraId="0D487A48" w14:textId="77777777" w:rsidR="00F32D00" w:rsidRDefault="00F32D00" w:rsidP="009D4A82">
    <w:pPr>
      <w:pStyle w:val="Encabezado"/>
      <w:tabs>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3087CF1C" w14:textId="77777777" w:rsidR="00F32D00" w:rsidRPr="005B3B0C" w:rsidRDefault="00F32D00" w:rsidP="009D4A82">
    <w:pPr>
      <w:pStyle w:val="Encabezado"/>
      <w:jc w:val="center"/>
      <w:rPr>
        <w:lang w:val="en-US"/>
      </w:rPr>
    </w:pPr>
    <w:r w:rsidRPr="00190583">
      <w:rPr>
        <w:rFonts w:ascii="Book Antiqua" w:hAnsi="Book Antiqua" w:cs="Book Antiqua"/>
        <w:i/>
        <w:iCs/>
        <w:sz w:val="18"/>
        <w:szCs w:val="18"/>
        <w:lang w:val="en-US"/>
      </w:rPr>
      <w:t xml:space="preserve">Telf.   </w:t>
    </w:r>
    <w:r>
      <w:rPr>
        <w:rFonts w:ascii="Book Antiqua" w:hAnsi="Book Antiqua" w:cs="Book Antiqua"/>
        <w:i/>
        <w:iCs/>
        <w:sz w:val="18"/>
        <w:szCs w:val="18"/>
        <w:lang w:val="en-US"/>
      </w:rPr>
      <w:t xml:space="preserve">2295-3600 / 3599 / Apdo.  95-1003 / </w:t>
    </w:r>
    <w:r w:rsidRPr="005B3B0C">
      <w:rPr>
        <w:rFonts w:ascii="Book Antiqua" w:hAnsi="Book Antiqua" w:cs="Book Antiqua"/>
        <w:i/>
        <w:iCs/>
        <w:sz w:val="18"/>
        <w:szCs w:val="18"/>
        <w:lang w:val="en-US"/>
      </w:rPr>
      <w:t>planificacion@poder-judicial.go.cr</w:t>
    </w:r>
  </w:p>
  <w:p w14:paraId="65212C6D" w14:textId="77777777" w:rsidR="00F32D00" w:rsidRPr="005B3B0C" w:rsidRDefault="00F32D00" w:rsidP="009D4A82">
    <w:pPr>
      <w:pBdr>
        <w:bottom w:val="single" w:sz="6" w:space="0" w:color="auto"/>
      </w:pBdr>
      <w:spacing w:after="20"/>
      <w:jc w:val="center"/>
      <w:rPr>
        <w:lang w:val="en-U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FC141E" w14:textId="34549895" w:rsidR="00F32D00" w:rsidRDefault="00F32D0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75389"/>
    <w:multiLevelType w:val="hybridMultilevel"/>
    <w:tmpl w:val="F3443066"/>
    <w:lvl w:ilvl="0" w:tplc="140A000B">
      <w:start w:val="1"/>
      <w:numFmt w:val="bullet"/>
      <w:lvlText w:val=""/>
      <w:lvlJc w:val="left"/>
      <w:pPr>
        <w:ind w:left="720" w:hanging="360"/>
      </w:pPr>
      <w:rPr>
        <w:rFonts w:ascii="Wingdings" w:hAnsi="Wingdings" w:hint="default"/>
      </w:rPr>
    </w:lvl>
    <w:lvl w:ilvl="1" w:tplc="140A000B">
      <w:start w:val="1"/>
      <w:numFmt w:val="bullet"/>
      <w:lvlText w:val=""/>
      <w:lvlJc w:val="left"/>
      <w:pPr>
        <w:ind w:left="1440" w:hanging="360"/>
      </w:pPr>
      <w:rPr>
        <w:rFonts w:ascii="Wingdings" w:hAnsi="Wingdings"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 w15:restartNumberingAfterBreak="0">
    <w:nsid w:val="07420D89"/>
    <w:multiLevelType w:val="multilevel"/>
    <w:tmpl w:val="FAE02226"/>
    <w:lvl w:ilvl="0">
      <w:start w:val="4"/>
      <w:numFmt w:val="decimal"/>
      <w:lvlText w:val="%1"/>
      <w:lvlJc w:val="left"/>
      <w:pPr>
        <w:ind w:left="360" w:hanging="360"/>
      </w:pPr>
      <w:rPr>
        <w:rFonts w:hint="default"/>
      </w:rPr>
    </w:lvl>
    <w:lvl w:ilvl="1">
      <w:start w:val="8"/>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0A32593F"/>
    <w:multiLevelType w:val="hybridMultilevel"/>
    <w:tmpl w:val="E57A3FB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D6A4AED"/>
    <w:multiLevelType w:val="multilevel"/>
    <w:tmpl w:val="C4487E7E"/>
    <w:lvl w:ilvl="0">
      <w:start w:val="1"/>
      <w:numFmt w:val="decimal"/>
      <w:pStyle w:val="Ttulo2"/>
      <w:lvlText w:val="%1."/>
      <w:lvlJc w:val="left"/>
      <w:pPr>
        <w:ind w:left="720" w:hanging="360"/>
      </w:pPr>
      <w:rPr>
        <w:rFonts w:hint="default"/>
      </w:rPr>
    </w:lvl>
    <w:lvl w:ilvl="1">
      <w:start w:val="1"/>
      <w:numFmt w:val="decimal"/>
      <w:isLgl/>
      <w:lvlText w:val="%1.%2."/>
      <w:lvlJc w:val="left"/>
      <w:pPr>
        <w:ind w:left="1080" w:hanging="720"/>
      </w:pPr>
      <w:rPr>
        <w:rFonts w:ascii="Book Antiqua" w:hAnsi="Book Antiqua" w:hint="default"/>
        <w:b/>
        <w:sz w:val="22"/>
        <w:szCs w:val="22"/>
        <w:lang w:val="es-CR"/>
      </w:rPr>
    </w:lvl>
    <w:lvl w:ilvl="2">
      <w:start w:val="1"/>
      <w:numFmt w:val="decimal"/>
      <w:isLgl/>
      <w:lvlText w:val="%1.%2.%3."/>
      <w:lvlJc w:val="left"/>
      <w:pPr>
        <w:ind w:left="1080" w:hanging="720"/>
      </w:pPr>
      <w:rPr>
        <w:rFonts w:hint="default"/>
        <w:b/>
        <w:bCs/>
        <w:i w:val="0"/>
        <w:iCs w:val="0"/>
        <w:color w:val="000000" w:themeColor="text1"/>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15:restartNumberingAfterBreak="0">
    <w:nsid w:val="0E4C2908"/>
    <w:multiLevelType w:val="hybridMultilevel"/>
    <w:tmpl w:val="2612DB96"/>
    <w:lvl w:ilvl="0" w:tplc="140A0015">
      <w:start w:val="1"/>
      <w:numFmt w:val="upp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5" w15:restartNumberingAfterBreak="0">
    <w:nsid w:val="124F1E76"/>
    <w:multiLevelType w:val="hybridMultilevel"/>
    <w:tmpl w:val="91DAC1C6"/>
    <w:lvl w:ilvl="0" w:tplc="B2865A82">
      <w:start w:val="1"/>
      <w:numFmt w:val="decimal"/>
      <w:lvlText w:val="%1."/>
      <w:lvlJc w:val="left"/>
      <w:pPr>
        <w:ind w:left="720" w:hanging="360"/>
      </w:pPr>
      <w:rPr>
        <w:rFonts w:hint="default"/>
      </w:rPr>
    </w:lvl>
    <w:lvl w:ilvl="1" w:tplc="140A000D">
      <w:start w:val="1"/>
      <w:numFmt w:val="bullet"/>
      <w:lvlText w:val=""/>
      <w:lvlJc w:val="left"/>
      <w:pPr>
        <w:ind w:left="1440" w:hanging="360"/>
      </w:pPr>
      <w:rPr>
        <w:rFonts w:ascii="Wingdings" w:hAnsi="Wingdings"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15AA5578"/>
    <w:multiLevelType w:val="hybridMultilevel"/>
    <w:tmpl w:val="74182AF8"/>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7" w15:restartNumberingAfterBreak="0">
    <w:nsid w:val="1A4D4419"/>
    <w:multiLevelType w:val="hybridMultilevel"/>
    <w:tmpl w:val="DD1C3A38"/>
    <w:lvl w:ilvl="0" w:tplc="CBAE5050">
      <w:start w:val="1"/>
      <w:numFmt w:val="decimal"/>
      <w:pStyle w:val="Ttulo4"/>
      <w:lvlText w:val="4.1.1.%1"/>
      <w:lvlJc w:val="left"/>
      <w:pPr>
        <w:ind w:left="720" w:hanging="360"/>
      </w:pPr>
      <w:rPr>
        <w:rFonts w:ascii="Book Antiqua" w:hAnsi="Book Antiqua" w:hint="default"/>
        <w:b/>
        <w:bCs/>
        <w:i w:val="0"/>
        <w:iCs w:val="0"/>
        <w:color w:val="auto"/>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1C180E6E"/>
    <w:multiLevelType w:val="hybridMultilevel"/>
    <w:tmpl w:val="A00C6936"/>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201D21F3"/>
    <w:multiLevelType w:val="hybridMultilevel"/>
    <w:tmpl w:val="320C8700"/>
    <w:lvl w:ilvl="0" w:tplc="C862E372">
      <w:start w:val="1"/>
      <w:numFmt w:val="decimal"/>
      <w:lvlText w:val="%1)"/>
      <w:lvlJc w:val="left"/>
      <w:pPr>
        <w:ind w:left="1080" w:hanging="360"/>
      </w:pPr>
      <w:rPr>
        <w:rFonts w:eastAsia="Times New Roman"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0" w15:restartNumberingAfterBreak="0">
    <w:nsid w:val="245B6829"/>
    <w:multiLevelType w:val="hybridMultilevel"/>
    <w:tmpl w:val="82D0D7C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2C64288D"/>
    <w:multiLevelType w:val="hybridMultilevel"/>
    <w:tmpl w:val="AA32D32E"/>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12" w15:restartNumberingAfterBreak="0">
    <w:nsid w:val="2D253234"/>
    <w:multiLevelType w:val="hybridMultilevel"/>
    <w:tmpl w:val="885EEA6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2E5A740A"/>
    <w:multiLevelType w:val="hybridMultilevel"/>
    <w:tmpl w:val="CEF669EA"/>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2149" w:hanging="360"/>
      </w:pPr>
      <w:rPr>
        <w:rFonts w:ascii="Courier New" w:hAnsi="Courier New" w:cs="Courier New" w:hint="default"/>
      </w:rPr>
    </w:lvl>
    <w:lvl w:ilvl="2" w:tplc="0C0A0005">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14" w15:restartNumberingAfterBreak="0">
    <w:nsid w:val="36DE1057"/>
    <w:multiLevelType w:val="hybridMultilevel"/>
    <w:tmpl w:val="FA2C003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5" w15:restartNumberingAfterBreak="0">
    <w:nsid w:val="3963432F"/>
    <w:multiLevelType w:val="hybridMultilevel"/>
    <w:tmpl w:val="E74CD4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41F476C0"/>
    <w:multiLevelType w:val="hybridMultilevel"/>
    <w:tmpl w:val="E66666E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451B622F"/>
    <w:multiLevelType w:val="hybridMultilevel"/>
    <w:tmpl w:val="6DBC35DC"/>
    <w:lvl w:ilvl="0" w:tplc="140A0011">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5BE7717A"/>
    <w:multiLevelType w:val="hybridMultilevel"/>
    <w:tmpl w:val="37984596"/>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5C78302B"/>
    <w:multiLevelType w:val="hybridMultilevel"/>
    <w:tmpl w:val="20BE7A52"/>
    <w:lvl w:ilvl="0" w:tplc="140A0015">
      <w:start w:val="2"/>
      <w:numFmt w:val="upp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0" w15:restartNumberingAfterBreak="0">
    <w:nsid w:val="62E123A4"/>
    <w:multiLevelType w:val="multilevel"/>
    <w:tmpl w:val="0409001F"/>
    <w:styleLink w:val="111111"/>
    <w:lvl w:ilvl="0">
      <w:start w:val="2"/>
      <w:numFmt w:val="decimal"/>
      <w:lvlText w:val="%1."/>
      <w:lvlJc w:val="left"/>
      <w:pPr>
        <w:tabs>
          <w:tab w:val="num" w:pos="0"/>
        </w:tabs>
        <w:ind w:left="360" w:hanging="360"/>
      </w:pPr>
      <w:rPr>
        <w:rFonts w:cs="Times New Roman"/>
      </w:rPr>
    </w:lvl>
    <w:lvl w:ilvl="1">
      <w:start w:val="1"/>
      <w:numFmt w:val="decimal"/>
      <w:lvlText w:val="%1.%2."/>
      <w:lvlJc w:val="left"/>
      <w:pPr>
        <w:tabs>
          <w:tab w:val="num" w:pos="0"/>
        </w:tabs>
        <w:ind w:left="432" w:hanging="432"/>
      </w:pPr>
      <w:rPr>
        <w:rFonts w:cs="Times New Roman"/>
      </w:rPr>
    </w:lvl>
    <w:lvl w:ilvl="2">
      <w:start w:val="1"/>
      <w:numFmt w:val="decimal"/>
      <w:lvlText w:val="%1.%2.%3."/>
      <w:lvlJc w:val="left"/>
      <w:pPr>
        <w:tabs>
          <w:tab w:val="num" w:pos="0"/>
        </w:tabs>
        <w:ind w:left="504" w:hanging="504"/>
      </w:pPr>
      <w:rPr>
        <w:rFonts w:cs="Times New Roman"/>
      </w:rPr>
    </w:lvl>
    <w:lvl w:ilvl="3">
      <w:start w:val="1"/>
      <w:numFmt w:val="decimal"/>
      <w:lvlText w:val="%1.%2.%3.%4."/>
      <w:lvlJc w:val="left"/>
      <w:pPr>
        <w:tabs>
          <w:tab w:val="num" w:pos="0"/>
        </w:tabs>
        <w:ind w:left="64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1" w15:restartNumberingAfterBreak="0">
    <w:nsid w:val="664A0455"/>
    <w:multiLevelType w:val="hybridMultilevel"/>
    <w:tmpl w:val="D39C8358"/>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690E7C47"/>
    <w:multiLevelType w:val="hybridMultilevel"/>
    <w:tmpl w:val="EFA8C8A8"/>
    <w:lvl w:ilvl="0" w:tplc="140A000D">
      <w:start w:val="1"/>
      <w:numFmt w:val="bullet"/>
      <w:lvlText w:val=""/>
      <w:lvlJc w:val="left"/>
      <w:pPr>
        <w:ind w:left="1080" w:hanging="360"/>
      </w:pPr>
      <w:rPr>
        <w:rFonts w:ascii="Wingdings" w:hAnsi="Wingdings"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23" w15:restartNumberingAfterBreak="0">
    <w:nsid w:val="6C2A48FD"/>
    <w:multiLevelType w:val="hybridMultilevel"/>
    <w:tmpl w:val="D0029C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730C559A"/>
    <w:multiLevelType w:val="hybridMultilevel"/>
    <w:tmpl w:val="5EF6927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76C0039E"/>
    <w:multiLevelType w:val="hybridMultilevel"/>
    <w:tmpl w:val="C32033F6"/>
    <w:lvl w:ilvl="0" w:tplc="140A0001">
      <w:start w:val="1"/>
      <w:numFmt w:val="bullet"/>
      <w:lvlText w:val=""/>
      <w:lvlJc w:val="left"/>
      <w:pPr>
        <w:ind w:left="1080" w:hanging="360"/>
      </w:pPr>
      <w:rPr>
        <w:rFonts w:ascii="Symbol" w:hAnsi="Symbol" w:hint="default"/>
      </w:rPr>
    </w:lvl>
    <w:lvl w:ilvl="1" w:tplc="140A0003">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26" w15:restartNumberingAfterBreak="0">
    <w:nsid w:val="799C33C2"/>
    <w:multiLevelType w:val="hybridMultilevel"/>
    <w:tmpl w:val="9698B76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7A3A4685"/>
    <w:multiLevelType w:val="hybridMultilevel"/>
    <w:tmpl w:val="34C60192"/>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7CA50C79"/>
    <w:multiLevelType w:val="hybridMultilevel"/>
    <w:tmpl w:val="45262926"/>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3"/>
  </w:num>
  <w:num w:numId="2">
    <w:abstractNumId w:val="27"/>
  </w:num>
  <w:num w:numId="3">
    <w:abstractNumId w:val="26"/>
  </w:num>
  <w:num w:numId="4">
    <w:abstractNumId w:val="2"/>
  </w:num>
  <w:num w:numId="5">
    <w:abstractNumId w:val="5"/>
  </w:num>
  <w:num w:numId="6">
    <w:abstractNumId w:val="0"/>
  </w:num>
  <w:num w:numId="7">
    <w:abstractNumId w:val="7"/>
  </w:num>
  <w:num w:numId="8">
    <w:abstractNumId w:val="9"/>
  </w:num>
  <w:num w:numId="9">
    <w:abstractNumId w:val="8"/>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num>
  <w:num w:numId="12">
    <w:abstractNumId w:val="22"/>
  </w:num>
  <w:num w:numId="13">
    <w:abstractNumId w:val="28"/>
  </w:num>
  <w:num w:numId="14">
    <w:abstractNumId w:val="21"/>
  </w:num>
  <w:num w:numId="15">
    <w:abstractNumId w:val="3"/>
  </w:num>
  <w:num w:numId="16">
    <w:abstractNumId w:val="3"/>
    <w:lvlOverride w:ilvl="0">
      <w:startOverride w:val="4"/>
    </w:lvlOverride>
    <w:lvlOverride w:ilvl="1">
      <w:startOverride w:val="3"/>
    </w:lvlOverride>
  </w:num>
  <w:num w:numId="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num>
  <w:num w:numId="19">
    <w:abstractNumId w:val="1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num>
  <w:num w:numId="21">
    <w:abstractNumId w:val="20"/>
  </w:num>
  <w:num w:numId="22">
    <w:abstractNumId w:val="16"/>
  </w:num>
  <w:num w:numId="23">
    <w:abstractNumId w:val="17"/>
  </w:num>
  <w:num w:numId="24">
    <w:abstractNumId w:val="15"/>
  </w:num>
  <w:num w:numId="25">
    <w:abstractNumId w:val="10"/>
  </w:num>
  <w:num w:numId="26">
    <w:abstractNumId w:val="24"/>
  </w:num>
  <w:num w:numId="27">
    <w:abstractNumId w:val="25"/>
  </w:num>
  <w:num w:numId="28">
    <w:abstractNumId w:val="1"/>
  </w:num>
  <w:num w:numId="29">
    <w:abstractNumId w:val="13"/>
  </w:num>
  <w:num w:numId="30">
    <w:abstractNumId w:val="6"/>
  </w:num>
  <w:num w:numId="31">
    <w:abstractNumId w:val="4"/>
  </w:num>
  <w:num w:numId="32">
    <w:abstractNumId w:val="18"/>
  </w:num>
  <w:num w:numId="33">
    <w:abstractNumId w:val="23"/>
  </w:num>
  <w:num w:numId="34">
    <w:abstractNumId w:val="3"/>
  </w:num>
  <w:num w:numId="35">
    <w:abstractNumId w:val="12"/>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08"/>
  <w:hyphenationZone w:val="425"/>
  <w:characterSpacingControl w:val="doNotCompress"/>
  <w:hdrShapeDefaults>
    <o:shapedefaults v:ext="edit" spidmax="409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4482"/>
    <w:rsid w:val="0000083C"/>
    <w:rsid w:val="00000ABF"/>
    <w:rsid w:val="00001E4E"/>
    <w:rsid w:val="00002159"/>
    <w:rsid w:val="00004263"/>
    <w:rsid w:val="0000448C"/>
    <w:rsid w:val="00004AFB"/>
    <w:rsid w:val="00004D0B"/>
    <w:rsid w:val="00004E6A"/>
    <w:rsid w:val="00006359"/>
    <w:rsid w:val="00006459"/>
    <w:rsid w:val="00006477"/>
    <w:rsid w:val="000065E5"/>
    <w:rsid w:val="00010117"/>
    <w:rsid w:val="00011101"/>
    <w:rsid w:val="000115E6"/>
    <w:rsid w:val="00012CF5"/>
    <w:rsid w:val="0001488E"/>
    <w:rsid w:val="000155CE"/>
    <w:rsid w:val="000156F8"/>
    <w:rsid w:val="00016DA2"/>
    <w:rsid w:val="00016F5E"/>
    <w:rsid w:val="00017C5E"/>
    <w:rsid w:val="000202F1"/>
    <w:rsid w:val="00020785"/>
    <w:rsid w:val="0002094E"/>
    <w:rsid w:val="00021A41"/>
    <w:rsid w:val="00021DBF"/>
    <w:rsid w:val="00022105"/>
    <w:rsid w:val="00023503"/>
    <w:rsid w:val="00024BA7"/>
    <w:rsid w:val="000276AB"/>
    <w:rsid w:val="00030171"/>
    <w:rsid w:val="00030223"/>
    <w:rsid w:val="00032FBF"/>
    <w:rsid w:val="000336B5"/>
    <w:rsid w:val="000344E6"/>
    <w:rsid w:val="00035CF7"/>
    <w:rsid w:val="00036033"/>
    <w:rsid w:val="00036816"/>
    <w:rsid w:val="00036C21"/>
    <w:rsid w:val="0003702C"/>
    <w:rsid w:val="0003799E"/>
    <w:rsid w:val="00041107"/>
    <w:rsid w:val="00041D68"/>
    <w:rsid w:val="00043FC0"/>
    <w:rsid w:val="00044E79"/>
    <w:rsid w:val="00045934"/>
    <w:rsid w:val="00046F9C"/>
    <w:rsid w:val="00047538"/>
    <w:rsid w:val="00047777"/>
    <w:rsid w:val="0005173F"/>
    <w:rsid w:val="00051873"/>
    <w:rsid w:val="0005270C"/>
    <w:rsid w:val="00053442"/>
    <w:rsid w:val="00053C2A"/>
    <w:rsid w:val="00054214"/>
    <w:rsid w:val="00054ACA"/>
    <w:rsid w:val="00055520"/>
    <w:rsid w:val="00055FDA"/>
    <w:rsid w:val="0005645E"/>
    <w:rsid w:val="00056A09"/>
    <w:rsid w:val="00056BA8"/>
    <w:rsid w:val="0006077B"/>
    <w:rsid w:val="00060C0C"/>
    <w:rsid w:val="00061602"/>
    <w:rsid w:val="00061E2A"/>
    <w:rsid w:val="000625CA"/>
    <w:rsid w:val="00062667"/>
    <w:rsid w:val="0006309E"/>
    <w:rsid w:val="00064674"/>
    <w:rsid w:val="00064E14"/>
    <w:rsid w:val="00067292"/>
    <w:rsid w:val="0007028E"/>
    <w:rsid w:val="000713D5"/>
    <w:rsid w:val="000721F1"/>
    <w:rsid w:val="000726F7"/>
    <w:rsid w:val="00073247"/>
    <w:rsid w:val="000733B1"/>
    <w:rsid w:val="0007468F"/>
    <w:rsid w:val="00074893"/>
    <w:rsid w:val="000752A7"/>
    <w:rsid w:val="000755C8"/>
    <w:rsid w:val="000768B8"/>
    <w:rsid w:val="000776B9"/>
    <w:rsid w:val="000802CB"/>
    <w:rsid w:val="000804A6"/>
    <w:rsid w:val="0008090B"/>
    <w:rsid w:val="00080D45"/>
    <w:rsid w:val="000816FF"/>
    <w:rsid w:val="00081A2C"/>
    <w:rsid w:val="00081C66"/>
    <w:rsid w:val="00081F00"/>
    <w:rsid w:val="000823AE"/>
    <w:rsid w:val="00082B1E"/>
    <w:rsid w:val="00084177"/>
    <w:rsid w:val="0008464D"/>
    <w:rsid w:val="0008504B"/>
    <w:rsid w:val="0008524E"/>
    <w:rsid w:val="00085674"/>
    <w:rsid w:val="00085A00"/>
    <w:rsid w:val="000900B5"/>
    <w:rsid w:val="00091856"/>
    <w:rsid w:val="00091A3D"/>
    <w:rsid w:val="00091ECE"/>
    <w:rsid w:val="00092199"/>
    <w:rsid w:val="000926C1"/>
    <w:rsid w:val="00092DC9"/>
    <w:rsid w:val="00093D18"/>
    <w:rsid w:val="00093E44"/>
    <w:rsid w:val="00093E5C"/>
    <w:rsid w:val="00093EBF"/>
    <w:rsid w:val="00094046"/>
    <w:rsid w:val="0009484F"/>
    <w:rsid w:val="00094886"/>
    <w:rsid w:val="000964CE"/>
    <w:rsid w:val="00096DCD"/>
    <w:rsid w:val="00096E7E"/>
    <w:rsid w:val="00096EED"/>
    <w:rsid w:val="00097741"/>
    <w:rsid w:val="000A1834"/>
    <w:rsid w:val="000A190D"/>
    <w:rsid w:val="000A1E0A"/>
    <w:rsid w:val="000A2494"/>
    <w:rsid w:val="000A2FA1"/>
    <w:rsid w:val="000A30CA"/>
    <w:rsid w:val="000A4D38"/>
    <w:rsid w:val="000A54B4"/>
    <w:rsid w:val="000A592C"/>
    <w:rsid w:val="000A5DAB"/>
    <w:rsid w:val="000A6220"/>
    <w:rsid w:val="000A726A"/>
    <w:rsid w:val="000B0027"/>
    <w:rsid w:val="000B12F7"/>
    <w:rsid w:val="000B1E1C"/>
    <w:rsid w:val="000B3B81"/>
    <w:rsid w:val="000B44EA"/>
    <w:rsid w:val="000B50C6"/>
    <w:rsid w:val="000B5279"/>
    <w:rsid w:val="000B52F9"/>
    <w:rsid w:val="000B5593"/>
    <w:rsid w:val="000B7C38"/>
    <w:rsid w:val="000B7E82"/>
    <w:rsid w:val="000C075C"/>
    <w:rsid w:val="000C2074"/>
    <w:rsid w:val="000C28DA"/>
    <w:rsid w:val="000C36BA"/>
    <w:rsid w:val="000C4591"/>
    <w:rsid w:val="000C5306"/>
    <w:rsid w:val="000C53FE"/>
    <w:rsid w:val="000C6192"/>
    <w:rsid w:val="000C71EA"/>
    <w:rsid w:val="000C7FA3"/>
    <w:rsid w:val="000D04EA"/>
    <w:rsid w:val="000D2535"/>
    <w:rsid w:val="000D26C8"/>
    <w:rsid w:val="000D2D78"/>
    <w:rsid w:val="000D2DAA"/>
    <w:rsid w:val="000D5922"/>
    <w:rsid w:val="000D596E"/>
    <w:rsid w:val="000D5CF7"/>
    <w:rsid w:val="000D617D"/>
    <w:rsid w:val="000D7176"/>
    <w:rsid w:val="000D7455"/>
    <w:rsid w:val="000D7762"/>
    <w:rsid w:val="000D7B58"/>
    <w:rsid w:val="000E08D9"/>
    <w:rsid w:val="000E1013"/>
    <w:rsid w:val="000E2DAA"/>
    <w:rsid w:val="000E325D"/>
    <w:rsid w:val="000E34D8"/>
    <w:rsid w:val="000E6D0F"/>
    <w:rsid w:val="000E72CE"/>
    <w:rsid w:val="000E7662"/>
    <w:rsid w:val="000F012B"/>
    <w:rsid w:val="000F0F39"/>
    <w:rsid w:val="000F3A3D"/>
    <w:rsid w:val="000F3DF2"/>
    <w:rsid w:val="000F43E1"/>
    <w:rsid w:val="000F6341"/>
    <w:rsid w:val="000F6C40"/>
    <w:rsid w:val="000F7174"/>
    <w:rsid w:val="000F74C9"/>
    <w:rsid w:val="00101818"/>
    <w:rsid w:val="001022CF"/>
    <w:rsid w:val="001038A5"/>
    <w:rsid w:val="00103D01"/>
    <w:rsid w:val="0010517B"/>
    <w:rsid w:val="001074E4"/>
    <w:rsid w:val="0010756B"/>
    <w:rsid w:val="00110263"/>
    <w:rsid w:val="0011048E"/>
    <w:rsid w:val="0011248E"/>
    <w:rsid w:val="0011339A"/>
    <w:rsid w:val="00113EC3"/>
    <w:rsid w:val="00113FD1"/>
    <w:rsid w:val="001143AF"/>
    <w:rsid w:val="0011513A"/>
    <w:rsid w:val="00115A03"/>
    <w:rsid w:val="00116446"/>
    <w:rsid w:val="00117EB3"/>
    <w:rsid w:val="00120187"/>
    <w:rsid w:val="00120BE4"/>
    <w:rsid w:val="00120C56"/>
    <w:rsid w:val="00120D6A"/>
    <w:rsid w:val="00120F6E"/>
    <w:rsid w:val="00122FFF"/>
    <w:rsid w:val="00125354"/>
    <w:rsid w:val="001257F7"/>
    <w:rsid w:val="00125F87"/>
    <w:rsid w:val="00125FAB"/>
    <w:rsid w:val="0012618A"/>
    <w:rsid w:val="001266B1"/>
    <w:rsid w:val="00126816"/>
    <w:rsid w:val="00126C31"/>
    <w:rsid w:val="00131737"/>
    <w:rsid w:val="00131815"/>
    <w:rsid w:val="00131CBC"/>
    <w:rsid w:val="00133399"/>
    <w:rsid w:val="001338DE"/>
    <w:rsid w:val="00135A22"/>
    <w:rsid w:val="00136735"/>
    <w:rsid w:val="0014010C"/>
    <w:rsid w:val="001413A6"/>
    <w:rsid w:val="0014141F"/>
    <w:rsid w:val="00142C6E"/>
    <w:rsid w:val="00147268"/>
    <w:rsid w:val="001514ED"/>
    <w:rsid w:val="001515F1"/>
    <w:rsid w:val="00151787"/>
    <w:rsid w:val="00151947"/>
    <w:rsid w:val="00151D49"/>
    <w:rsid w:val="001520E9"/>
    <w:rsid w:val="0015299A"/>
    <w:rsid w:val="00154A2A"/>
    <w:rsid w:val="00154EAC"/>
    <w:rsid w:val="00156D8F"/>
    <w:rsid w:val="001601F3"/>
    <w:rsid w:val="001601FB"/>
    <w:rsid w:val="0016030D"/>
    <w:rsid w:val="00160EA7"/>
    <w:rsid w:val="0016112B"/>
    <w:rsid w:val="00163817"/>
    <w:rsid w:val="00167281"/>
    <w:rsid w:val="00167D8E"/>
    <w:rsid w:val="00170A00"/>
    <w:rsid w:val="0017195F"/>
    <w:rsid w:val="00171975"/>
    <w:rsid w:val="00171C19"/>
    <w:rsid w:val="00173DA9"/>
    <w:rsid w:val="00175B40"/>
    <w:rsid w:val="00176152"/>
    <w:rsid w:val="001770C5"/>
    <w:rsid w:val="00177E16"/>
    <w:rsid w:val="001802AD"/>
    <w:rsid w:val="00181475"/>
    <w:rsid w:val="001828C5"/>
    <w:rsid w:val="00182EC2"/>
    <w:rsid w:val="00182ED4"/>
    <w:rsid w:val="001846FF"/>
    <w:rsid w:val="0018507C"/>
    <w:rsid w:val="001852A1"/>
    <w:rsid w:val="00185C25"/>
    <w:rsid w:val="00185EB0"/>
    <w:rsid w:val="001864F2"/>
    <w:rsid w:val="001867C1"/>
    <w:rsid w:val="00186FAE"/>
    <w:rsid w:val="00187749"/>
    <w:rsid w:val="00187F33"/>
    <w:rsid w:val="001913B2"/>
    <w:rsid w:val="0019160A"/>
    <w:rsid w:val="00191657"/>
    <w:rsid w:val="00191DDB"/>
    <w:rsid w:val="00192DF0"/>
    <w:rsid w:val="00192E42"/>
    <w:rsid w:val="001931F7"/>
    <w:rsid w:val="0019356E"/>
    <w:rsid w:val="00193FD1"/>
    <w:rsid w:val="00194439"/>
    <w:rsid w:val="00194C34"/>
    <w:rsid w:val="001954D2"/>
    <w:rsid w:val="001962F8"/>
    <w:rsid w:val="00196339"/>
    <w:rsid w:val="00197233"/>
    <w:rsid w:val="001A3C12"/>
    <w:rsid w:val="001A4090"/>
    <w:rsid w:val="001A498C"/>
    <w:rsid w:val="001A4ABB"/>
    <w:rsid w:val="001A4F11"/>
    <w:rsid w:val="001A5E38"/>
    <w:rsid w:val="001A6E91"/>
    <w:rsid w:val="001A79CD"/>
    <w:rsid w:val="001A7BEA"/>
    <w:rsid w:val="001B0A32"/>
    <w:rsid w:val="001B0E01"/>
    <w:rsid w:val="001B17FF"/>
    <w:rsid w:val="001B21BB"/>
    <w:rsid w:val="001B246C"/>
    <w:rsid w:val="001B2529"/>
    <w:rsid w:val="001B5BC6"/>
    <w:rsid w:val="001B60C4"/>
    <w:rsid w:val="001B68E0"/>
    <w:rsid w:val="001B77C3"/>
    <w:rsid w:val="001C04F0"/>
    <w:rsid w:val="001C0A77"/>
    <w:rsid w:val="001C0E25"/>
    <w:rsid w:val="001C1B06"/>
    <w:rsid w:val="001C1E15"/>
    <w:rsid w:val="001C2065"/>
    <w:rsid w:val="001C4482"/>
    <w:rsid w:val="001C45A0"/>
    <w:rsid w:val="001C467F"/>
    <w:rsid w:val="001C4A15"/>
    <w:rsid w:val="001C50C3"/>
    <w:rsid w:val="001C6E7E"/>
    <w:rsid w:val="001C7D6C"/>
    <w:rsid w:val="001C7F02"/>
    <w:rsid w:val="001D0E77"/>
    <w:rsid w:val="001D106D"/>
    <w:rsid w:val="001D3248"/>
    <w:rsid w:val="001D3352"/>
    <w:rsid w:val="001D3407"/>
    <w:rsid w:val="001D3934"/>
    <w:rsid w:val="001D4AE5"/>
    <w:rsid w:val="001D737D"/>
    <w:rsid w:val="001D76D1"/>
    <w:rsid w:val="001E0A5B"/>
    <w:rsid w:val="001E1992"/>
    <w:rsid w:val="001E2C3A"/>
    <w:rsid w:val="001E3021"/>
    <w:rsid w:val="001E39DD"/>
    <w:rsid w:val="001E3A66"/>
    <w:rsid w:val="001E3ACE"/>
    <w:rsid w:val="001E3D92"/>
    <w:rsid w:val="001E3F21"/>
    <w:rsid w:val="001E4080"/>
    <w:rsid w:val="001E4811"/>
    <w:rsid w:val="001E5575"/>
    <w:rsid w:val="001E5B90"/>
    <w:rsid w:val="001E7768"/>
    <w:rsid w:val="001F0665"/>
    <w:rsid w:val="001F0B82"/>
    <w:rsid w:val="001F1630"/>
    <w:rsid w:val="001F1DAD"/>
    <w:rsid w:val="001F34C8"/>
    <w:rsid w:val="001F481E"/>
    <w:rsid w:val="001F48B9"/>
    <w:rsid w:val="001F4C82"/>
    <w:rsid w:val="001F4FE1"/>
    <w:rsid w:val="001F586C"/>
    <w:rsid w:val="001F70F9"/>
    <w:rsid w:val="001F772D"/>
    <w:rsid w:val="001F7C0D"/>
    <w:rsid w:val="0020074C"/>
    <w:rsid w:val="002008CE"/>
    <w:rsid w:val="002020D1"/>
    <w:rsid w:val="00203811"/>
    <w:rsid w:val="0020384B"/>
    <w:rsid w:val="00203E65"/>
    <w:rsid w:val="00204502"/>
    <w:rsid w:val="00204D52"/>
    <w:rsid w:val="00205659"/>
    <w:rsid w:val="002061DB"/>
    <w:rsid w:val="00207B45"/>
    <w:rsid w:val="00211737"/>
    <w:rsid w:val="002130C9"/>
    <w:rsid w:val="002154CB"/>
    <w:rsid w:val="00215D3B"/>
    <w:rsid w:val="00216683"/>
    <w:rsid w:val="00221400"/>
    <w:rsid w:val="00221DD0"/>
    <w:rsid w:val="00222287"/>
    <w:rsid w:val="00224D83"/>
    <w:rsid w:val="002258D0"/>
    <w:rsid w:val="00225A82"/>
    <w:rsid w:val="00225D9F"/>
    <w:rsid w:val="0022661E"/>
    <w:rsid w:val="00226A80"/>
    <w:rsid w:val="00227D34"/>
    <w:rsid w:val="00230590"/>
    <w:rsid w:val="00231691"/>
    <w:rsid w:val="002319BB"/>
    <w:rsid w:val="0023248A"/>
    <w:rsid w:val="00232E0A"/>
    <w:rsid w:val="00233875"/>
    <w:rsid w:val="0023410F"/>
    <w:rsid w:val="00234678"/>
    <w:rsid w:val="00234AC4"/>
    <w:rsid w:val="00236451"/>
    <w:rsid w:val="00237337"/>
    <w:rsid w:val="00237CCC"/>
    <w:rsid w:val="002410AF"/>
    <w:rsid w:val="00244A24"/>
    <w:rsid w:val="00244C9D"/>
    <w:rsid w:val="00245DF0"/>
    <w:rsid w:val="00246CDB"/>
    <w:rsid w:val="00247766"/>
    <w:rsid w:val="00247DAD"/>
    <w:rsid w:val="00250445"/>
    <w:rsid w:val="00251CA8"/>
    <w:rsid w:val="0025267B"/>
    <w:rsid w:val="00252B63"/>
    <w:rsid w:val="00253F09"/>
    <w:rsid w:val="00255A68"/>
    <w:rsid w:val="00256180"/>
    <w:rsid w:val="00256D46"/>
    <w:rsid w:val="00257364"/>
    <w:rsid w:val="00260184"/>
    <w:rsid w:val="002605B0"/>
    <w:rsid w:val="00260841"/>
    <w:rsid w:val="00260C19"/>
    <w:rsid w:val="002612D2"/>
    <w:rsid w:val="002619A0"/>
    <w:rsid w:val="00263468"/>
    <w:rsid w:val="00263759"/>
    <w:rsid w:val="0026425C"/>
    <w:rsid w:val="0026561E"/>
    <w:rsid w:val="002657D8"/>
    <w:rsid w:val="00265E4B"/>
    <w:rsid w:val="00266A41"/>
    <w:rsid w:val="002671AC"/>
    <w:rsid w:val="00267EE9"/>
    <w:rsid w:val="00271CA0"/>
    <w:rsid w:val="00272946"/>
    <w:rsid w:val="00272A7E"/>
    <w:rsid w:val="0027427D"/>
    <w:rsid w:val="00274636"/>
    <w:rsid w:val="002752D7"/>
    <w:rsid w:val="002759F6"/>
    <w:rsid w:val="00275D58"/>
    <w:rsid w:val="002767E3"/>
    <w:rsid w:val="00276E56"/>
    <w:rsid w:val="0028012E"/>
    <w:rsid w:val="002812B0"/>
    <w:rsid w:val="00281C7B"/>
    <w:rsid w:val="0028207A"/>
    <w:rsid w:val="0028236F"/>
    <w:rsid w:val="00282426"/>
    <w:rsid w:val="00282A33"/>
    <w:rsid w:val="00282D4F"/>
    <w:rsid w:val="00283DF6"/>
    <w:rsid w:val="00283E38"/>
    <w:rsid w:val="00285C85"/>
    <w:rsid w:val="0028604E"/>
    <w:rsid w:val="0028606C"/>
    <w:rsid w:val="00286AF1"/>
    <w:rsid w:val="00286F51"/>
    <w:rsid w:val="00287046"/>
    <w:rsid w:val="0028713D"/>
    <w:rsid w:val="002872F2"/>
    <w:rsid w:val="0028732F"/>
    <w:rsid w:val="0029055C"/>
    <w:rsid w:val="00290663"/>
    <w:rsid w:val="00290E93"/>
    <w:rsid w:val="00290FC4"/>
    <w:rsid w:val="00291398"/>
    <w:rsid w:val="00291498"/>
    <w:rsid w:val="00291561"/>
    <w:rsid w:val="0029206D"/>
    <w:rsid w:val="0029264E"/>
    <w:rsid w:val="00292B0A"/>
    <w:rsid w:val="00292FC6"/>
    <w:rsid w:val="0029542C"/>
    <w:rsid w:val="002A1586"/>
    <w:rsid w:val="002A26D5"/>
    <w:rsid w:val="002A2B0A"/>
    <w:rsid w:val="002A314A"/>
    <w:rsid w:val="002A461D"/>
    <w:rsid w:val="002A4F97"/>
    <w:rsid w:val="002A51DB"/>
    <w:rsid w:val="002A6370"/>
    <w:rsid w:val="002A655C"/>
    <w:rsid w:val="002B0C53"/>
    <w:rsid w:val="002B11E1"/>
    <w:rsid w:val="002B1F1D"/>
    <w:rsid w:val="002B2230"/>
    <w:rsid w:val="002B2BFF"/>
    <w:rsid w:val="002B2F1F"/>
    <w:rsid w:val="002B30B5"/>
    <w:rsid w:val="002B3DAC"/>
    <w:rsid w:val="002B4A30"/>
    <w:rsid w:val="002B57DB"/>
    <w:rsid w:val="002B5D3D"/>
    <w:rsid w:val="002B6F44"/>
    <w:rsid w:val="002B7269"/>
    <w:rsid w:val="002C0472"/>
    <w:rsid w:val="002C06B5"/>
    <w:rsid w:val="002C141A"/>
    <w:rsid w:val="002C2742"/>
    <w:rsid w:val="002C2B67"/>
    <w:rsid w:val="002C4338"/>
    <w:rsid w:val="002C4A1E"/>
    <w:rsid w:val="002C525B"/>
    <w:rsid w:val="002C540B"/>
    <w:rsid w:val="002C5925"/>
    <w:rsid w:val="002C7570"/>
    <w:rsid w:val="002C7A90"/>
    <w:rsid w:val="002C7D59"/>
    <w:rsid w:val="002D0299"/>
    <w:rsid w:val="002D0F0A"/>
    <w:rsid w:val="002D1CF3"/>
    <w:rsid w:val="002D214F"/>
    <w:rsid w:val="002D2D19"/>
    <w:rsid w:val="002D40BE"/>
    <w:rsid w:val="002D4F1D"/>
    <w:rsid w:val="002D4F95"/>
    <w:rsid w:val="002E04BA"/>
    <w:rsid w:val="002E0E85"/>
    <w:rsid w:val="002E13A3"/>
    <w:rsid w:val="002E1584"/>
    <w:rsid w:val="002E1C90"/>
    <w:rsid w:val="002E529B"/>
    <w:rsid w:val="002E6DFA"/>
    <w:rsid w:val="002E7399"/>
    <w:rsid w:val="002E7F33"/>
    <w:rsid w:val="002F0BE8"/>
    <w:rsid w:val="002F14D5"/>
    <w:rsid w:val="002F1CC2"/>
    <w:rsid w:val="002F258A"/>
    <w:rsid w:val="002F2A12"/>
    <w:rsid w:val="002F3406"/>
    <w:rsid w:val="002F3581"/>
    <w:rsid w:val="002F369B"/>
    <w:rsid w:val="002F3ECF"/>
    <w:rsid w:val="002F44DE"/>
    <w:rsid w:val="002F4F3F"/>
    <w:rsid w:val="002F5E21"/>
    <w:rsid w:val="002F70BE"/>
    <w:rsid w:val="002F7A8A"/>
    <w:rsid w:val="002F7B87"/>
    <w:rsid w:val="00300158"/>
    <w:rsid w:val="00300326"/>
    <w:rsid w:val="00300991"/>
    <w:rsid w:val="00301765"/>
    <w:rsid w:val="00301B8B"/>
    <w:rsid w:val="00301C0B"/>
    <w:rsid w:val="00302589"/>
    <w:rsid w:val="00303FEB"/>
    <w:rsid w:val="00305275"/>
    <w:rsid w:val="00305737"/>
    <w:rsid w:val="00306D30"/>
    <w:rsid w:val="00306EF0"/>
    <w:rsid w:val="00306F35"/>
    <w:rsid w:val="003072F0"/>
    <w:rsid w:val="003073D0"/>
    <w:rsid w:val="00310BF3"/>
    <w:rsid w:val="00310D31"/>
    <w:rsid w:val="00310E32"/>
    <w:rsid w:val="00311065"/>
    <w:rsid w:val="00311A80"/>
    <w:rsid w:val="0031205C"/>
    <w:rsid w:val="0031370C"/>
    <w:rsid w:val="00314027"/>
    <w:rsid w:val="0031422B"/>
    <w:rsid w:val="0031433C"/>
    <w:rsid w:val="00314827"/>
    <w:rsid w:val="003149B9"/>
    <w:rsid w:val="00314A51"/>
    <w:rsid w:val="00314E46"/>
    <w:rsid w:val="00315F1A"/>
    <w:rsid w:val="00316EC2"/>
    <w:rsid w:val="00316FBB"/>
    <w:rsid w:val="00317164"/>
    <w:rsid w:val="00317E1D"/>
    <w:rsid w:val="00320723"/>
    <w:rsid w:val="00321DF9"/>
    <w:rsid w:val="003233E0"/>
    <w:rsid w:val="0032358C"/>
    <w:rsid w:val="0032595E"/>
    <w:rsid w:val="0032633A"/>
    <w:rsid w:val="00327BC4"/>
    <w:rsid w:val="00327D48"/>
    <w:rsid w:val="003302F7"/>
    <w:rsid w:val="00330C6B"/>
    <w:rsid w:val="00331010"/>
    <w:rsid w:val="003313C7"/>
    <w:rsid w:val="00332E02"/>
    <w:rsid w:val="00332E2A"/>
    <w:rsid w:val="00333250"/>
    <w:rsid w:val="0033342E"/>
    <w:rsid w:val="0033364A"/>
    <w:rsid w:val="00333846"/>
    <w:rsid w:val="003348EF"/>
    <w:rsid w:val="0033534B"/>
    <w:rsid w:val="00335F00"/>
    <w:rsid w:val="00336518"/>
    <w:rsid w:val="00336C8C"/>
    <w:rsid w:val="00336D0A"/>
    <w:rsid w:val="003377DE"/>
    <w:rsid w:val="003400A5"/>
    <w:rsid w:val="00340F91"/>
    <w:rsid w:val="00340FFD"/>
    <w:rsid w:val="00341479"/>
    <w:rsid w:val="0034241B"/>
    <w:rsid w:val="00342E49"/>
    <w:rsid w:val="003438B4"/>
    <w:rsid w:val="00344122"/>
    <w:rsid w:val="00344C63"/>
    <w:rsid w:val="00344D9F"/>
    <w:rsid w:val="00345141"/>
    <w:rsid w:val="003467D1"/>
    <w:rsid w:val="00346DB1"/>
    <w:rsid w:val="00346DBB"/>
    <w:rsid w:val="0034756D"/>
    <w:rsid w:val="0034763F"/>
    <w:rsid w:val="0034771B"/>
    <w:rsid w:val="00347731"/>
    <w:rsid w:val="00347D47"/>
    <w:rsid w:val="003504A5"/>
    <w:rsid w:val="00351281"/>
    <w:rsid w:val="00351C15"/>
    <w:rsid w:val="003536B2"/>
    <w:rsid w:val="0035413F"/>
    <w:rsid w:val="003543D1"/>
    <w:rsid w:val="00354FC5"/>
    <w:rsid w:val="00354FD7"/>
    <w:rsid w:val="0035540B"/>
    <w:rsid w:val="0035541F"/>
    <w:rsid w:val="00355934"/>
    <w:rsid w:val="00355DCE"/>
    <w:rsid w:val="003564D7"/>
    <w:rsid w:val="0036093A"/>
    <w:rsid w:val="003611B0"/>
    <w:rsid w:val="00361903"/>
    <w:rsid w:val="00361ED8"/>
    <w:rsid w:val="0036256B"/>
    <w:rsid w:val="0036270A"/>
    <w:rsid w:val="00363B25"/>
    <w:rsid w:val="00364763"/>
    <w:rsid w:val="003655EA"/>
    <w:rsid w:val="00366078"/>
    <w:rsid w:val="00366E08"/>
    <w:rsid w:val="003672E6"/>
    <w:rsid w:val="00367440"/>
    <w:rsid w:val="00367B1E"/>
    <w:rsid w:val="00367CF6"/>
    <w:rsid w:val="003704CD"/>
    <w:rsid w:val="003705D4"/>
    <w:rsid w:val="00370AAF"/>
    <w:rsid w:val="00372337"/>
    <w:rsid w:val="003727C8"/>
    <w:rsid w:val="00372A8D"/>
    <w:rsid w:val="00372FA3"/>
    <w:rsid w:val="00373BD3"/>
    <w:rsid w:val="00373C2E"/>
    <w:rsid w:val="00374409"/>
    <w:rsid w:val="00374CB1"/>
    <w:rsid w:val="00375C85"/>
    <w:rsid w:val="003777E4"/>
    <w:rsid w:val="00377AE2"/>
    <w:rsid w:val="00377BB6"/>
    <w:rsid w:val="00380CF6"/>
    <w:rsid w:val="00381505"/>
    <w:rsid w:val="00381A28"/>
    <w:rsid w:val="00381A4B"/>
    <w:rsid w:val="00382067"/>
    <w:rsid w:val="003820FF"/>
    <w:rsid w:val="00382470"/>
    <w:rsid w:val="00382901"/>
    <w:rsid w:val="00383500"/>
    <w:rsid w:val="00383F7C"/>
    <w:rsid w:val="003842CE"/>
    <w:rsid w:val="003843D9"/>
    <w:rsid w:val="0038500F"/>
    <w:rsid w:val="003852A6"/>
    <w:rsid w:val="00387071"/>
    <w:rsid w:val="00390251"/>
    <w:rsid w:val="00390D41"/>
    <w:rsid w:val="00390FF5"/>
    <w:rsid w:val="00392B95"/>
    <w:rsid w:val="00392F37"/>
    <w:rsid w:val="00393BF5"/>
    <w:rsid w:val="00396E89"/>
    <w:rsid w:val="00396E9B"/>
    <w:rsid w:val="00397035"/>
    <w:rsid w:val="00397551"/>
    <w:rsid w:val="003A1B51"/>
    <w:rsid w:val="003A2951"/>
    <w:rsid w:val="003A32B1"/>
    <w:rsid w:val="003A3ADC"/>
    <w:rsid w:val="003A4F3E"/>
    <w:rsid w:val="003A5238"/>
    <w:rsid w:val="003A5760"/>
    <w:rsid w:val="003A5AEA"/>
    <w:rsid w:val="003A67DE"/>
    <w:rsid w:val="003B0922"/>
    <w:rsid w:val="003B0CEB"/>
    <w:rsid w:val="003B0EE9"/>
    <w:rsid w:val="003B0F06"/>
    <w:rsid w:val="003B1142"/>
    <w:rsid w:val="003B1F9E"/>
    <w:rsid w:val="003B2AD3"/>
    <w:rsid w:val="003B2B95"/>
    <w:rsid w:val="003B2CBA"/>
    <w:rsid w:val="003B41BF"/>
    <w:rsid w:val="003B7861"/>
    <w:rsid w:val="003B7ED3"/>
    <w:rsid w:val="003B7FB2"/>
    <w:rsid w:val="003C069A"/>
    <w:rsid w:val="003C202B"/>
    <w:rsid w:val="003C2E5A"/>
    <w:rsid w:val="003C3A66"/>
    <w:rsid w:val="003C3CEA"/>
    <w:rsid w:val="003C45C0"/>
    <w:rsid w:val="003C4A77"/>
    <w:rsid w:val="003C4F37"/>
    <w:rsid w:val="003C6465"/>
    <w:rsid w:val="003C748A"/>
    <w:rsid w:val="003C7AE1"/>
    <w:rsid w:val="003C7EA3"/>
    <w:rsid w:val="003D1998"/>
    <w:rsid w:val="003D214D"/>
    <w:rsid w:val="003D23E3"/>
    <w:rsid w:val="003D2C45"/>
    <w:rsid w:val="003D2E6A"/>
    <w:rsid w:val="003D3649"/>
    <w:rsid w:val="003D387C"/>
    <w:rsid w:val="003D4727"/>
    <w:rsid w:val="003D698E"/>
    <w:rsid w:val="003D6AF3"/>
    <w:rsid w:val="003E08DC"/>
    <w:rsid w:val="003E10F3"/>
    <w:rsid w:val="003E255E"/>
    <w:rsid w:val="003E27F5"/>
    <w:rsid w:val="003E287D"/>
    <w:rsid w:val="003E46D8"/>
    <w:rsid w:val="003E49A2"/>
    <w:rsid w:val="003E49BB"/>
    <w:rsid w:val="003E4BE3"/>
    <w:rsid w:val="003E4C0B"/>
    <w:rsid w:val="003E4D5F"/>
    <w:rsid w:val="003E5207"/>
    <w:rsid w:val="003E7301"/>
    <w:rsid w:val="003E751C"/>
    <w:rsid w:val="003E7612"/>
    <w:rsid w:val="003F0004"/>
    <w:rsid w:val="003F0976"/>
    <w:rsid w:val="003F0C6E"/>
    <w:rsid w:val="003F2537"/>
    <w:rsid w:val="003F256C"/>
    <w:rsid w:val="003F26A5"/>
    <w:rsid w:val="003F2C39"/>
    <w:rsid w:val="003F353D"/>
    <w:rsid w:val="003F3F09"/>
    <w:rsid w:val="003F4D52"/>
    <w:rsid w:val="003F54DB"/>
    <w:rsid w:val="003F54F6"/>
    <w:rsid w:val="003F5E1A"/>
    <w:rsid w:val="003F6B34"/>
    <w:rsid w:val="003F73BA"/>
    <w:rsid w:val="003F7654"/>
    <w:rsid w:val="004002E2"/>
    <w:rsid w:val="00401CBD"/>
    <w:rsid w:val="00401E0A"/>
    <w:rsid w:val="00403663"/>
    <w:rsid w:val="0040454B"/>
    <w:rsid w:val="00405EBB"/>
    <w:rsid w:val="00406918"/>
    <w:rsid w:val="00407399"/>
    <w:rsid w:val="004076F3"/>
    <w:rsid w:val="0040787C"/>
    <w:rsid w:val="00410286"/>
    <w:rsid w:val="004106F8"/>
    <w:rsid w:val="0041082C"/>
    <w:rsid w:val="0041084F"/>
    <w:rsid w:val="00410B41"/>
    <w:rsid w:val="00410CC9"/>
    <w:rsid w:val="00410ED4"/>
    <w:rsid w:val="004114DF"/>
    <w:rsid w:val="00412A1D"/>
    <w:rsid w:val="0041361C"/>
    <w:rsid w:val="00413D4E"/>
    <w:rsid w:val="00413E19"/>
    <w:rsid w:val="004150A7"/>
    <w:rsid w:val="0041519B"/>
    <w:rsid w:val="00415B56"/>
    <w:rsid w:val="004166B3"/>
    <w:rsid w:val="00416A02"/>
    <w:rsid w:val="00416CE4"/>
    <w:rsid w:val="00416D61"/>
    <w:rsid w:val="004204CC"/>
    <w:rsid w:val="00420BB8"/>
    <w:rsid w:val="00421397"/>
    <w:rsid w:val="00421BE2"/>
    <w:rsid w:val="00421C92"/>
    <w:rsid w:val="00422A11"/>
    <w:rsid w:val="004233CD"/>
    <w:rsid w:val="00423EF0"/>
    <w:rsid w:val="004241B9"/>
    <w:rsid w:val="00425DC8"/>
    <w:rsid w:val="00426DC0"/>
    <w:rsid w:val="0043071F"/>
    <w:rsid w:val="0043152A"/>
    <w:rsid w:val="00433190"/>
    <w:rsid w:val="00433453"/>
    <w:rsid w:val="0043381B"/>
    <w:rsid w:val="004345D4"/>
    <w:rsid w:val="004347EA"/>
    <w:rsid w:val="0043515C"/>
    <w:rsid w:val="0043539C"/>
    <w:rsid w:val="00436A2C"/>
    <w:rsid w:val="00437CE7"/>
    <w:rsid w:val="0044018C"/>
    <w:rsid w:val="00442397"/>
    <w:rsid w:val="004423D9"/>
    <w:rsid w:val="004428A7"/>
    <w:rsid w:val="00442C41"/>
    <w:rsid w:val="004430C7"/>
    <w:rsid w:val="00443125"/>
    <w:rsid w:val="00443276"/>
    <w:rsid w:val="00443814"/>
    <w:rsid w:val="00443A99"/>
    <w:rsid w:val="0044425F"/>
    <w:rsid w:val="004448DF"/>
    <w:rsid w:val="00444AD7"/>
    <w:rsid w:val="00445406"/>
    <w:rsid w:val="00445E04"/>
    <w:rsid w:val="00445FA2"/>
    <w:rsid w:val="00446011"/>
    <w:rsid w:val="00446185"/>
    <w:rsid w:val="00446351"/>
    <w:rsid w:val="00446403"/>
    <w:rsid w:val="00446B06"/>
    <w:rsid w:val="00447C2C"/>
    <w:rsid w:val="00447C30"/>
    <w:rsid w:val="00452E89"/>
    <w:rsid w:val="004549DF"/>
    <w:rsid w:val="00455BC1"/>
    <w:rsid w:val="00455C1A"/>
    <w:rsid w:val="00455F1D"/>
    <w:rsid w:val="0046045C"/>
    <w:rsid w:val="004616F2"/>
    <w:rsid w:val="00461A4F"/>
    <w:rsid w:val="00463182"/>
    <w:rsid w:val="004634BD"/>
    <w:rsid w:val="00464103"/>
    <w:rsid w:val="00464AD1"/>
    <w:rsid w:val="0046747D"/>
    <w:rsid w:val="00467D49"/>
    <w:rsid w:val="00467FDA"/>
    <w:rsid w:val="004703F1"/>
    <w:rsid w:val="00470D55"/>
    <w:rsid w:val="00470F80"/>
    <w:rsid w:val="00474655"/>
    <w:rsid w:val="00475565"/>
    <w:rsid w:val="004756EF"/>
    <w:rsid w:val="00475E6D"/>
    <w:rsid w:val="00476205"/>
    <w:rsid w:val="0047678F"/>
    <w:rsid w:val="00476C0C"/>
    <w:rsid w:val="00476CAF"/>
    <w:rsid w:val="00476D63"/>
    <w:rsid w:val="00477A4F"/>
    <w:rsid w:val="00477B3E"/>
    <w:rsid w:val="00480105"/>
    <w:rsid w:val="00480248"/>
    <w:rsid w:val="00480738"/>
    <w:rsid w:val="00480F5A"/>
    <w:rsid w:val="00481F3D"/>
    <w:rsid w:val="00482C72"/>
    <w:rsid w:val="00482E83"/>
    <w:rsid w:val="00483229"/>
    <w:rsid w:val="00483346"/>
    <w:rsid w:val="00483B0E"/>
    <w:rsid w:val="00483C44"/>
    <w:rsid w:val="00484D2A"/>
    <w:rsid w:val="00485A3C"/>
    <w:rsid w:val="00485C01"/>
    <w:rsid w:val="00485CB0"/>
    <w:rsid w:val="00487523"/>
    <w:rsid w:val="00487563"/>
    <w:rsid w:val="00487BA4"/>
    <w:rsid w:val="00491920"/>
    <w:rsid w:val="00491BB3"/>
    <w:rsid w:val="004922A4"/>
    <w:rsid w:val="0049293D"/>
    <w:rsid w:val="0049298F"/>
    <w:rsid w:val="00492CBC"/>
    <w:rsid w:val="004933E7"/>
    <w:rsid w:val="00493768"/>
    <w:rsid w:val="0049461C"/>
    <w:rsid w:val="00494B8B"/>
    <w:rsid w:val="00495BE0"/>
    <w:rsid w:val="0049683C"/>
    <w:rsid w:val="00496E02"/>
    <w:rsid w:val="00497162"/>
    <w:rsid w:val="004A017F"/>
    <w:rsid w:val="004A0570"/>
    <w:rsid w:val="004A0B16"/>
    <w:rsid w:val="004A3EF4"/>
    <w:rsid w:val="004A5632"/>
    <w:rsid w:val="004A5747"/>
    <w:rsid w:val="004A6224"/>
    <w:rsid w:val="004A674A"/>
    <w:rsid w:val="004A6A55"/>
    <w:rsid w:val="004A6A5F"/>
    <w:rsid w:val="004A6B07"/>
    <w:rsid w:val="004A6B77"/>
    <w:rsid w:val="004A79CF"/>
    <w:rsid w:val="004A7F8E"/>
    <w:rsid w:val="004B0C6E"/>
    <w:rsid w:val="004B152E"/>
    <w:rsid w:val="004B15A3"/>
    <w:rsid w:val="004B1BDC"/>
    <w:rsid w:val="004B1C27"/>
    <w:rsid w:val="004B1FE0"/>
    <w:rsid w:val="004B4B64"/>
    <w:rsid w:val="004B5C85"/>
    <w:rsid w:val="004B5D95"/>
    <w:rsid w:val="004B6036"/>
    <w:rsid w:val="004B6354"/>
    <w:rsid w:val="004B663E"/>
    <w:rsid w:val="004B7EB4"/>
    <w:rsid w:val="004B7F5F"/>
    <w:rsid w:val="004C02B0"/>
    <w:rsid w:val="004C233C"/>
    <w:rsid w:val="004C2EC1"/>
    <w:rsid w:val="004C347B"/>
    <w:rsid w:val="004C3E95"/>
    <w:rsid w:val="004C4DD6"/>
    <w:rsid w:val="004C5D83"/>
    <w:rsid w:val="004C6019"/>
    <w:rsid w:val="004C662D"/>
    <w:rsid w:val="004C76C7"/>
    <w:rsid w:val="004D0000"/>
    <w:rsid w:val="004D048C"/>
    <w:rsid w:val="004D0941"/>
    <w:rsid w:val="004D1204"/>
    <w:rsid w:val="004D17D2"/>
    <w:rsid w:val="004D189C"/>
    <w:rsid w:val="004D1ED3"/>
    <w:rsid w:val="004D1FDB"/>
    <w:rsid w:val="004D2345"/>
    <w:rsid w:val="004D39FA"/>
    <w:rsid w:val="004D5C30"/>
    <w:rsid w:val="004D5DCF"/>
    <w:rsid w:val="004D641B"/>
    <w:rsid w:val="004D6509"/>
    <w:rsid w:val="004D6B5B"/>
    <w:rsid w:val="004E085F"/>
    <w:rsid w:val="004E0C15"/>
    <w:rsid w:val="004E186A"/>
    <w:rsid w:val="004E2A57"/>
    <w:rsid w:val="004E479D"/>
    <w:rsid w:val="004E48D4"/>
    <w:rsid w:val="004E4BD2"/>
    <w:rsid w:val="004E4DFE"/>
    <w:rsid w:val="004E51EC"/>
    <w:rsid w:val="004E7050"/>
    <w:rsid w:val="004F102E"/>
    <w:rsid w:val="004F2184"/>
    <w:rsid w:val="004F2466"/>
    <w:rsid w:val="004F2841"/>
    <w:rsid w:val="004F3100"/>
    <w:rsid w:val="004F44A7"/>
    <w:rsid w:val="004F53F6"/>
    <w:rsid w:val="004F57B8"/>
    <w:rsid w:val="004F5A6E"/>
    <w:rsid w:val="004F5BD6"/>
    <w:rsid w:val="004F64D5"/>
    <w:rsid w:val="004F6E34"/>
    <w:rsid w:val="004F6F39"/>
    <w:rsid w:val="004F7D1A"/>
    <w:rsid w:val="0050084A"/>
    <w:rsid w:val="005015AF"/>
    <w:rsid w:val="00501619"/>
    <w:rsid w:val="00502172"/>
    <w:rsid w:val="00502B73"/>
    <w:rsid w:val="00505805"/>
    <w:rsid w:val="00505F02"/>
    <w:rsid w:val="0050664C"/>
    <w:rsid w:val="00507657"/>
    <w:rsid w:val="0051071B"/>
    <w:rsid w:val="00510F21"/>
    <w:rsid w:val="00510F32"/>
    <w:rsid w:val="00511BC8"/>
    <w:rsid w:val="00512B04"/>
    <w:rsid w:val="00512B4B"/>
    <w:rsid w:val="00514983"/>
    <w:rsid w:val="00514A09"/>
    <w:rsid w:val="00514AC8"/>
    <w:rsid w:val="005154AB"/>
    <w:rsid w:val="005200B2"/>
    <w:rsid w:val="00520F96"/>
    <w:rsid w:val="0052149E"/>
    <w:rsid w:val="005217EE"/>
    <w:rsid w:val="005218EF"/>
    <w:rsid w:val="00521FF6"/>
    <w:rsid w:val="00522706"/>
    <w:rsid w:val="00522C51"/>
    <w:rsid w:val="00523088"/>
    <w:rsid w:val="0052688B"/>
    <w:rsid w:val="0053269D"/>
    <w:rsid w:val="0053274F"/>
    <w:rsid w:val="005336E1"/>
    <w:rsid w:val="005336FB"/>
    <w:rsid w:val="00533922"/>
    <w:rsid w:val="005345ED"/>
    <w:rsid w:val="00535C15"/>
    <w:rsid w:val="00536E19"/>
    <w:rsid w:val="00536EDE"/>
    <w:rsid w:val="005375D8"/>
    <w:rsid w:val="005423DD"/>
    <w:rsid w:val="00542500"/>
    <w:rsid w:val="0054478B"/>
    <w:rsid w:val="00545863"/>
    <w:rsid w:val="00545E25"/>
    <w:rsid w:val="00546037"/>
    <w:rsid w:val="00546069"/>
    <w:rsid w:val="00546ABD"/>
    <w:rsid w:val="00550041"/>
    <w:rsid w:val="00554CF5"/>
    <w:rsid w:val="00554D09"/>
    <w:rsid w:val="005572E3"/>
    <w:rsid w:val="00557914"/>
    <w:rsid w:val="0056130D"/>
    <w:rsid w:val="0056132F"/>
    <w:rsid w:val="00561454"/>
    <w:rsid w:val="005622BE"/>
    <w:rsid w:val="0056286E"/>
    <w:rsid w:val="005646B6"/>
    <w:rsid w:val="00565A3C"/>
    <w:rsid w:val="00565E56"/>
    <w:rsid w:val="00567537"/>
    <w:rsid w:val="005675A9"/>
    <w:rsid w:val="005675EE"/>
    <w:rsid w:val="005704F8"/>
    <w:rsid w:val="00570C55"/>
    <w:rsid w:val="005713CB"/>
    <w:rsid w:val="00571F83"/>
    <w:rsid w:val="0057266A"/>
    <w:rsid w:val="00572C6D"/>
    <w:rsid w:val="005734C0"/>
    <w:rsid w:val="00574620"/>
    <w:rsid w:val="005746C3"/>
    <w:rsid w:val="00575DB8"/>
    <w:rsid w:val="00575DFB"/>
    <w:rsid w:val="00576261"/>
    <w:rsid w:val="00576373"/>
    <w:rsid w:val="00576DE3"/>
    <w:rsid w:val="005812D8"/>
    <w:rsid w:val="005818F7"/>
    <w:rsid w:val="00581F04"/>
    <w:rsid w:val="00582444"/>
    <w:rsid w:val="00582E73"/>
    <w:rsid w:val="00583F34"/>
    <w:rsid w:val="0058416C"/>
    <w:rsid w:val="0058464C"/>
    <w:rsid w:val="005854CB"/>
    <w:rsid w:val="00585A3C"/>
    <w:rsid w:val="00585BA3"/>
    <w:rsid w:val="00585C88"/>
    <w:rsid w:val="00586A7C"/>
    <w:rsid w:val="00586C8E"/>
    <w:rsid w:val="00590150"/>
    <w:rsid w:val="00591202"/>
    <w:rsid w:val="00591A80"/>
    <w:rsid w:val="00592E55"/>
    <w:rsid w:val="00593207"/>
    <w:rsid w:val="00595CEC"/>
    <w:rsid w:val="00595E03"/>
    <w:rsid w:val="005A030A"/>
    <w:rsid w:val="005A0A4D"/>
    <w:rsid w:val="005A243C"/>
    <w:rsid w:val="005A2C63"/>
    <w:rsid w:val="005A3197"/>
    <w:rsid w:val="005A397D"/>
    <w:rsid w:val="005A4175"/>
    <w:rsid w:val="005A573D"/>
    <w:rsid w:val="005A5933"/>
    <w:rsid w:val="005A616E"/>
    <w:rsid w:val="005A741E"/>
    <w:rsid w:val="005A7932"/>
    <w:rsid w:val="005B015A"/>
    <w:rsid w:val="005B066B"/>
    <w:rsid w:val="005B1150"/>
    <w:rsid w:val="005B1C2D"/>
    <w:rsid w:val="005B2020"/>
    <w:rsid w:val="005B2329"/>
    <w:rsid w:val="005B2B72"/>
    <w:rsid w:val="005B3963"/>
    <w:rsid w:val="005B64C9"/>
    <w:rsid w:val="005B69E4"/>
    <w:rsid w:val="005B723F"/>
    <w:rsid w:val="005B742F"/>
    <w:rsid w:val="005B7F85"/>
    <w:rsid w:val="005C0E00"/>
    <w:rsid w:val="005C2512"/>
    <w:rsid w:val="005C2F2D"/>
    <w:rsid w:val="005C30FD"/>
    <w:rsid w:val="005C42C2"/>
    <w:rsid w:val="005C5A5A"/>
    <w:rsid w:val="005C6CC7"/>
    <w:rsid w:val="005C7480"/>
    <w:rsid w:val="005C7CA9"/>
    <w:rsid w:val="005D0422"/>
    <w:rsid w:val="005D04DB"/>
    <w:rsid w:val="005D0CA6"/>
    <w:rsid w:val="005D0EF6"/>
    <w:rsid w:val="005D1BEF"/>
    <w:rsid w:val="005D1CC5"/>
    <w:rsid w:val="005D23B6"/>
    <w:rsid w:val="005D2D85"/>
    <w:rsid w:val="005D2DC1"/>
    <w:rsid w:val="005D4303"/>
    <w:rsid w:val="005D4B47"/>
    <w:rsid w:val="005D4D6A"/>
    <w:rsid w:val="005D5826"/>
    <w:rsid w:val="005D5BFF"/>
    <w:rsid w:val="005D6280"/>
    <w:rsid w:val="005D644F"/>
    <w:rsid w:val="005D6C88"/>
    <w:rsid w:val="005E0C87"/>
    <w:rsid w:val="005E0DC0"/>
    <w:rsid w:val="005E0DF5"/>
    <w:rsid w:val="005E1305"/>
    <w:rsid w:val="005E1A5F"/>
    <w:rsid w:val="005E1F1F"/>
    <w:rsid w:val="005E2078"/>
    <w:rsid w:val="005E216B"/>
    <w:rsid w:val="005E287C"/>
    <w:rsid w:val="005E3118"/>
    <w:rsid w:val="005E48A4"/>
    <w:rsid w:val="005E4A21"/>
    <w:rsid w:val="005E4F40"/>
    <w:rsid w:val="005E507C"/>
    <w:rsid w:val="005E6856"/>
    <w:rsid w:val="005E74C8"/>
    <w:rsid w:val="005F1633"/>
    <w:rsid w:val="005F2BED"/>
    <w:rsid w:val="005F2C63"/>
    <w:rsid w:val="005F41EA"/>
    <w:rsid w:val="005F4358"/>
    <w:rsid w:val="005F51E6"/>
    <w:rsid w:val="005F54EA"/>
    <w:rsid w:val="005F5535"/>
    <w:rsid w:val="005F5A42"/>
    <w:rsid w:val="005F6403"/>
    <w:rsid w:val="005F648A"/>
    <w:rsid w:val="005F6C09"/>
    <w:rsid w:val="005F7611"/>
    <w:rsid w:val="005F79A7"/>
    <w:rsid w:val="00601AA2"/>
    <w:rsid w:val="006020CE"/>
    <w:rsid w:val="00602C91"/>
    <w:rsid w:val="006036E6"/>
    <w:rsid w:val="0060505C"/>
    <w:rsid w:val="00605B6E"/>
    <w:rsid w:val="006062CE"/>
    <w:rsid w:val="006074BE"/>
    <w:rsid w:val="006075C0"/>
    <w:rsid w:val="00607B29"/>
    <w:rsid w:val="006106CE"/>
    <w:rsid w:val="00615C2D"/>
    <w:rsid w:val="00615C5B"/>
    <w:rsid w:val="006167CB"/>
    <w:rsid w:val="00621284"/>
    <w:rsid w:val="006212AE"/>
    <w:rsid w:val="00622D93"/>
    <w:rsid w:val="00623B92"/>
    <w:rsid w:val="00623DE3"/>
    <w:rsid w:val="00623E4B"/>
    <w:rsid w:val="00624002"/>
    <w:rsid w:val="00624AAF"/>
    <w:rsid w:val="00624B9E"/>
    <w:rsid w:val="00626111"/>
    <w:rsid w:val="006262DA"/>
    <w:rsid w:val="00627219"/>
    <w:rsid w:val="00627490"/>
    <w:rsid w:val="00627CE8"/>
    <w:rsid w:val="0063125C"/>
    <w:rsid w:val="006318BD"/>
    <w:rsid w:val="006323DC"/>
    <w:rsid w:val="00633159"/>
    <w:rsid w:val="00633EDD"/>
    <w:rsid w:val="006352DB"/>
    <w:rsid w:val="00636C63"/>
    <w:rsid w:val="00642605"/>
    <w:rsid w:val="006436DF"/>
    <w:rsid w:val="00644851"/>
    <w:rsid w:val="00644AA4"/>
    <w:rsid w:val="00646577"/>
    <w:rsid w:val="00650700"/>
    <w:rsid w:val="0065083D"/>
    <w:rsid w:val="00650FA7"/>
    <w:rsid w:val="0065137F"/>
    <w:rsid w:val="0065187D"/>
    <w:rsid w:val="00653CF0"/>
    <w:rsid w:val="00656BEE"/>
    <w:rsid w:val="0065765A"/>
    <w:rsid w:val="006608F7"/>
    <w:rsid w:val="00660AC9"/>
    <w:rsid w:val="006616B5"/>
    <w:rsid w:val="00661BFB"/>
    <w:rsid w:val="00663AC0"/>
    <w:rsid w:val="00665AF3"/>
    <w:rsid w:val="00665E79"/>
    <w:rsid w:val="0066657F"/>
    <w:rsid w:val="00666808"/>
    <w:rsid w:val="00666A9D"/>
    <w:rsid w:val="00666F8A"/>
    <w:rsid w:val="00667189"/>
    <w:rsid w:val="006675F6"/>
    <w:rsid w:val="006707E7"/>
    <w:rsid w:val="00670A64"/>
    <w:rsid w:val="00670D4E"/>
    <w:rsid w:val="00670E34"/>
    <w:rsid w:val="006713FD"/>
    <w:rsid w:val="00671419"/>
    <w:rsid w:val="0067186B"/>
    <w:rsid w:val="00671A11"/>
    <w:rsid w:val="0067297E"/>
    <w:rsid w:val="00674BB8"/>
    <w:rsid w:val="00674DB1"/>
    <w:rsid w:val="00674F62"/>
    <w:rsid w:val="00675266"/>
    <w:rsid w:val="00675597"/>
    <w:rsid w:val="00676639"/>
    <w:rsid w:val="00677689"/>
    <w:rsid w:val="006776AE"/>
    <w:rsid w:val="0067793A"/>
    <w:rsid w:val="00677B4E"/>
    <w:rsid w:val="00677C20"/>
    <w:rsid w:val="00677C2A"/>
    <w:rsid w:val="00681354"/>
    <w:rsid w:val="00681434"/>
    <w:rsid w:val="006820EB"/>
    <w:rsid w:val="0068298D"/>
    <w:rsid w:val="00682ED7"/>
    <w:rsid w:val="006839DC"/>
    <w:rsid w:val="00683C45"/>
    <w:rsid w:val="00685885"/>
    <w:rsid w:val="00685D1A"/>
    <w:rsid w:val="00687292"/>
    <w:rsid w:val="006873F4"/>
    <w:rsid w:val="00690A6D"/>
    <w:rsid w:val="006911C5"/>
    <w:rsid w:val="006928CC"/>
    <w:rsid w:val="00692B21"/>
    <w:rsid w:val="00693036"/>
    <w:rsid w:val="00693C35"/>
    <w:rsid w:val="0069410B"/>
    <w:rsid w:val="00694EAE"/>
    <w:rsid w:val="00695481"/>
    <w:rsid w:val="00697A6C"/>
    <w:rsid w:val="006A07A0"/>
    <w:rsid w:val="006A141D"/>
    <w:rsid w:val="006A2554"/>
    <w:rsid w:val="006A33C0"/>
    <w:rsid w:val="006A36F1"/>
    <w:rsid w:val="006A4232"/>
    <w:rsid w:val="006A56B4"/>
    <w:rsid w:val="006A5A61"/>
    <w:rsid w:val="006A679E"/>
    <w:rsid w:val="006A68D2"/>
    <w:rsid w:val="006B06E5"/>
    <w:rsid w:val="006B0E19"/>
    <w:rsid w:val="006B1301"/>
    <w:rsid w:val="006B1EFC"/>
    <w:rsid w:val="006B22A7"/>
    <w:rsid w:val="006B2768"/>
    <w:rsid w:val="006B2E74"/>
    <w:rsid w:val="006B404A"/>
    <w:rsid w:val="006B6053"/>
    <w:rsid w:val="006B650B"/>
    <w:rsid w:val="006B7BFE"/>
    <w:rsid w:val="006C1385"/>
    <w:rsid w:val="006C13F6"/>
    <w:rsid w:val="006C17E6"/>
    <w:rsid w:val="006C1E0D"/>
    <w:rsid w:val="006C20FA"/>
    <w:rsid w:val="006C3B70"/>
    <w:rsid w:val="006C412E"/>
    <w:rsid w:val="006C643C"/>
    <w:rsid w:val="006C6453"/>
    <w:rsid w:val="006C6A46"/>
    <w:rsid w:val="006D0B85"/>
    <w:rsid w:val="006D0BE6"/>
    <w:rsid w:val="006D19A3"/>
    <w:rsid w:val="006D1C99"/>
    <w:rsid w:val="006D2413"/>
    <w:rsid w:val="006D2CA1"/>
    <w:rsid w:val="006D3344"/>
    <w:rsid w:val="006D4463"/>
    <w:rsid w:val="006D4ADB"/>
    <w:rsid w:val="006D7F13"/>
    <w:rsid w:val="006D7F99"/>
    <w:rsid w:val="006E00CE"/>
    <w:rsid w:val="006E03AF"/>
    <w:rsid w:val="006E17B3"/>
    <w:rsid w:val="006E24CB"/>
    <w:rsid w:val="006E3859"/>
    <w:rsid w:val="006E460E"/>
    <w:rsid w:val="006E491D"/>
    <w:rsid w:val="006E58B7"/>
    <w:rsid w:val="006E5FC8"/>
    <w:rsid w:val="006E6CBA"/>
    <w:rsid w:val="006E7504"/>
    <w:rsid w:val="006F06BE"/>
    <w:rsid w:val="006F285E"/>
    <w:rsid w:val="006F317C"/>
    <w:rsid w:val="006F4660"/>
    <w:rsid w:val="006F54BE"/>
    <w:rsid w:val="006F670E"/>
    <w:rsid w:val="006F6BF9"/>
    <w:rsid w:val="007013F3"/>
    <w:rsid w:val="0070217E"/>
    <w:rsid w:val="0070220A"/>
    <w:rsid w:val="00706A0B"/>
    <w:rsid w:val="00710124"/>
    <w:rsid w:val="007117E3"/>
    <w:rsid w:val="007117E8"/>
    <w:rsid w:val="00711B5F"/>
    <w:rsid w:val="007120FD"/>
    <w:rsid w:val="0071392B"/>
    <w:rsid w:val="00714041"/>
    <w:rsid w:val="00715E09"/>
    <w:rsid w:val="00716AAF"/>
    <w:rsid w:val="00717422"/>
    <w:rsid w:val="007175F5"/>
    <w:rsid w:val="00717BA4"/>
    <w:rsid w:val="00717C20"/>
    <w:rsid w:val="0072057C"/>
    <w:rsid w:val="00721A6D"/>
    <w:rsid w:val="00721DE1"/>
    <w:rsid w:val="00722279"/>
    <w:rsid w:val="007227C9"/>
    <w:rsid w:val="00722B5C"/>
    <w:rsid w:val="0072419E"/>
    <w:rsid w:val="00724949"/>
    <w:rsid w:val="00726633"/>
    <w:rsid w:val="007278FE"/>
    <w:rsid w:val="00727E88"/>
    <w:rsid w:val="00730172"/>
    <w:rsid w:val="00731AD7"/>
    <w:rsid w:val="00732235"/>
    <w:rsid w:val="00732751"/>
    <w:rsid w:val="00732C27"/>
    <w:rsid w:val="00732F5C"/>
    <w:rsid w:val="0073596E"/>
    <w:rsid w:val="00735E21"/>
    <w:rsid w:val="0073613B"/>
    <w:rsid w:val="007362AC"/>
    <w:rsid w:val="007364B1"/>
    <w:rsid w:val="00736DC8"/>
    <w:rsid w:val="007405F5"/>
    <w:rsid w:val="00741333"/>
    <w:rsid w:val="00742220"/>
    <w:rsid w:val="007440D0"/>
    <w:rsid w:val="007455F1"/>
    <w:rsid w:val="00746D18"/>
    <w:rsid w:val="00747CA0"/>
    <w:rsid w:val="00750336"/>
    <w:rsid w:val="00750E12"/>
    <w:rsid w:val="00751393"/>
    <w:rsid w:val="007518BD"/>
    <w:rsid w:val="007523AE"/>
    <w:rsid w:val="00752FF5"/>
    <w:rsid w:val="0075329E"/>
    <w:rsid w:val="00754290"/>
    <w:rsid w:val="0075512D"/>
    <w:rsid w:val="0075517D"/>
    <w:rsid w:val="007553B5"/>
    <w:rsid w:val="0075598A"/>
    <w:rsid w:val="00755F18"/>
    <w:rsid w:val="00761B5D"/>
    <w:rsid w:val="00762502"/>
    <w:rsid w:val="00762529"/>
    <w:rsid w:val="007631C4"/>
    <w:rsid w:val="0076390A"/>
    <w:rsid w:val="00764C14"/>
    <w:rsid w:val="00766328"/>
    <w:rsid w:val="00766FDB"/>
    <w:rsid w:val="0076761A"/>
    <w:rsid w:val="00767944"/>
    <w:rsid w:val="0077054C"/>
    <w:rsid w:val="00770701"/>
    <w:rsid w:val="00771D0F"/>
    <w:rsid w:val="00771D74"/>
    <w:rsid w:val="00771D8D"/>
    <w:rsid w:val="00771EDE"/>
    <w:rsid w:val="007729BF"/>
    <w:rsid w:val="007729FE"/>
    <w:rsid w:val="00773476"/>
    <w:rsid w:val="007737B3"/>
    <w:rsid w:val="00774A63"/>
    <w:rsid w:val="00774A64"/>
    <w:rsid w:val="0078112F"/>
    <w:rsid w:val="00782088"/>
    <w:rsid w:val="00782EAC"/>
    <w:rsid w:val="00784878"/>
    <w:rsid w:val="00784D13"/>
    <w:rsid w:val="007853C3"/>
    <w:rsid w:val="00785538"/>
    <w:rsid w:val="007865EB"/>
    <w:rsid w:val="0078712B"/>
    <w:rsid w:val="00787E4C"/>
    <w:rsid w:val="00787FB1"/>
    <w:rsid w:val="00790136"/>
    <w:rsid w:val="00792274"/>
    <w:rsid w:val="00794D2E"/>
    <w:rsid w:val="007960BF"/>
    <w:rsid w:val="0079679F"/>
    <w:rsid w:val="00796D77"/>
    <w:rsid w:val="00796E97"/>
    <w:rsid w:val="00797EE7"/>
    <w:rsid w:val="007A07FB"/>
    <w:rsid w:val="007A0903"/>
    <w:rsid w:val="007A1D49"/>
    <w:rsid w:val="007A2BAD"/>
    <w:rsid w:val="007A31C0"/>
    <w:rsid w:val="007A3A69"/>
    <w:rsid w:val="007A6336"/>
    <w:rsid w:val="007A67F0"/>
    <w:rsid w:val="007A67F5"/>
    <w:rsid w:val="007A7443"/>
    <w:rsid w:val="007A765B"/>
    <w:rsid w:val="007A7A80"/>
    <w:rsid w:val="007A7F24"/>
    <w:rsid w:val="007B0566"/>
    <w:rsid w:val="007B1EB7"/>
    <w:rsid w:val="007B1EBD"/>
    <w:rsid w:val="007B23ED"/>
    <w:rsid w:val="007B2A92"/>
    <w:rsid w:val="007B3471"/>
    <w:rsid w:val="007B3986"/>
    <w:rsid w:val="007B3A84"/>
    <w:rsid w:val="007B43B1"/>
    <w:rsid w:val="007B5EEE"/>
    <w:rsid w:val="007B64CC"/>
    <w:rsid w:val="007B6F1B"/>
    <w:rsid w:val="007B6FF6"/>
    <w:rsid w:val="007C1A7A"/>
    <w:rsid w:val="007C1B50"/>
    <w:rsid w:val="007C1E6A"/>
    <w:rsid w:val="007C23F2"/>
    <w:rsid w:val="007C34F6"/>
    <w:rsid w:val="007C38D9"/>
    <w:rsid w:val="007C4E44"/>
    <w:rsid w:val="007C531A"/>
    <w:rsid w:val="007C55AA"/>
    <w:rsid w:val="007C56D9"/>
    <w:rsid w:val="007C6176"/>
    <w:rsid w:val="007C6181"/>
    <w:rsid w:val="007C647E"/>
    <w:rsid w:val="007C6D5E"/>
    <w:rsid w:val="007D0663"/>
    <w:rsid w:val="007D0CA5"/>
    <w:rsid w:val="007D199D"/>
    <w:rsid w:val="007D2EDE"/>
    <w:rsid w:val="007D2FBE"/>
    <w:rsid w:val="007D6A58"/>
    <w:rsid w:val="007D6C85"/>
    <w:rsid w:val="007D76A6"/>
    <w:rsid w:val="007E026C"/>
    <w:rsid w:val="007E1240"/>
    <w:rsid w:val="007E17F4"/>
    <w:rsid w:val="007E2F92"/>
    <w:rsid w:val="007E34AF"/>
    <w:rsid w:val="007E35CA"/>
    <w:rsid w:val="007E3AF9"/>
    <w:rsid w:val="007E3C27"/>
    <w:rsid w:val="007E46CD"/>
    <w:rsid w:val="007E4EA4"/>
    <w:rsid w:val="007E513D"/>
    <w:rsid w:val="007E5867"/>
    <w:rsid w:val="007E5D11"/>
    <w:rsid w:val="007E69AF"/>
    <w:rsid w:val="007E6F21"/>
    <w:rsid w:val="007F0934"/>
    <w:rsid w:val="007F0E85"/>
    <w:rsid w:val="007F0FB2"/>
    <w:rsid w:val="007F217D"/>
    <w:rsid w:val="007F42EB"/>
    <w:rsid w:val="007F62A5"/>
    <w:rsid w:val="007F6C47"/>
    <w:rsid w:val="007F6E55"/>
    <w:rsid w:val="007F719C"/>
    <w:rsid w:val="007F78AB"/>
    <w:rsid w:val="007F79DA"/>
    <w:rsid w:val="007F7E71"/>
    <w:rsid w:val="00800563"/>
    <w:rsid w:val="00800F37"/>
    <w:rsid w:val="00801A0D"/>
    <w:rsid w:val="00801DFD"/>
    <w:rsid w:val="008027A4"/>
    <w:rsid w:val="00802B0E"/>
    <w:rsid w:val="0080398B"/>
    <w:rsid w:val="00804487"/>
    <w:rsid w:val="00805EE6"/>
    <w:rsid w:val="008064BA"/>
    <w:rsid w:val="008075C2"/>
    <w:rsid w:val="00807BEF"/>
    <w:rsid w:val="00807FB9"/>
    <w:rsid w:val="00810180"/>
    <w:rsid w:val="008105E9"/>
    <w:rsid w:val="00810944"/>
    <w:rsid w:val="008110F0"/>
    <w:rsid w:val="0081183F"/>
    <w:rsid w:val="0081275B"/>
    <w:rsid w:val="00812BE8"/>
    <w:rsid w:val="008139F4"/>
    <w:rsid w:val="00815163"/>
    <w:rsid w:val="00815CB4"/>
    <w:rsid w:val="00817F2E"/>
    <w:rsid w:val="00817FF9"/>
    <w:rsid w:val="00820751"/>
    <w:rsid w:val="00820A1A"/>
    <w:rsid w:val="008210F4"/>
    <w:rsid w:val="00821175"/>
    <w:rsid w:val="008211FB"/>
    <w:rsid w:val="00821BA1"/>
    <w:rsid w:val="00822982"/>
    <w:rsid w:val="00823547"/>
    <w:rsid w:val="008235E7"/>
    <w:rsid w:val="0082394E"/>
    <w:rsid w:val="00825A07"/>
    <w:rsid w:val="008266E2"/>
    <w:rsid w:val="00827848"/>
    <w:rsid w:val="00827B5E"/>
    <w:rsid w:val="00830C92"/>
    <w:rsid w:val="00830E9F"/>
    <w:rsid w:val="008325A3"/>
    <w:rsid w:val="008328E6"/>
    <w:rsid w:val="00833BD5"/>
    <w:rsid w:val="00833D1B"/>
    <w:rsid w:val="00834535"/>
    <w:rsid w:val="00834CAA"/>
    <w:rsid w:val="00835BAD"/>
    <w:rsid w:val="00835FE7"/>
    <w:rsid w:val="00836896"/>
    <w:rsid w:val="00836CFB"/>
    <w:rsid w:val="0083743C"/>
    <w:rsid w:val="008401B4"/>
    <w:rsid w:val="0084039B"/>
    <w:rsid w:val="0084079C"/>
    <w:rsid w:val="00841337"/>
    <w:rsid w:val="00841AD9"/>
    <w:rsid w:val="008425F8"/>
    <w:rsid w:val="00842620"/>
    <w:rsid w:val="008435DC"/>
    <w:rsid w:val="0084642C"/>
    <w:rsid w:val="00846EB0"/>
    <w:rsid w:val="00847E5E"/>
    <w:rsid w:val="00851DE7"/>
    <w:rsid w:val="00851E9D"/>
    <w:rsid w:val="0085218A"/>
    <w:rsid w:val="00854865"/>
    <w:rsid w:val="00855019"/>
    <w:rsid w:val="00855117"/>
    <w:rsid w:val="008556A5"/>
    <w:rsid w:val="008578A0"/>
    <w:rsid w:val="00860577"/>
    <w:rsid w:val="0086087E"/>
    <w:rsid w:val="00860C42"/>
    <w:rsid w:val="00860E11"/>
    <w:rsid w:val="00861B9E"/>
    <w:rsid w:val="00862153"/>
    <w:rsid w:val="008624A5"/>
    <w:rsid w:val="00862791"/>
    <w:rsid w:val="00863089"/>
    <w:rsid w:val="00864320"/>
    <w:rsid w:val="008645AE"/>
    <w:rsid w:val="00864EA9"/>
    <w:rsid w:val="00865938"/>
    <w:rsid w:val="00865DA9"/>
    <w:rsid w:val="00866338"/>
    <w:rsid w:val="00866F10"/>
    <w:rsid w:val="00867F0B"/>
    <w:rsid w:val="008706E1"/>
    <w:rsid w:val="00870982"/>
    <w:rsid w:val="00870B97"/>
    <w:rsid w:val="00871B0C"/>
    <w:rsid w:val="00872943"/>
    <w:rsid w:val="00873FD3"/>
    <w:rsid w:val="008740B1"/>
    <w:rsid w:val="008740F2"/>
    <w:rsid w:val="008744A3"/>
    <w:rsid w:val="00874A87"/>
    <w:rsid w:val="00874BE5"/>
    <w:rsid w:val="00874E9A"/>
    <w:rsid w:val="00875140"/>
    <w:rsid w:val="00875BCA"/>
    <w:rsid w:val="00875FF6"/>
    <w:rsid w:val="0087665A"/>
    <w:rsid w:val="008779D4"/>
    <w:rsid w:val="0088046D"/>
    <w:rsid w:val="0088071D"/>
    <w:rsid w:val="00881337"/>
    <w:rsid w:val="008814EF"/>
    <w:rsid w:val="00881724"/>
    <w:rsid w:val="00881F61"/>
    <w:rsid w:val="008821EF"/>
    <w:rsid w:val="00884CFC"/>
    <w:rsid w:val="00884D00"/>
    <w:rsid w:val="00884FE5"/>
    <w:rsid w:val="008853F8"/>
    <w:rsid w:val="0088594F"/>
    <w:rsid w:val="0088695C"/>
    <w:rsid w:val="008869E6"/>
    <w:rsid w:val="00886F9E"/>
    <w:rsid w:val="0088707C"/>
    <w:rsid w:val="008871AA"/>
    <w:rsid w:val="00887C34"/>
    <w:rsid w:val="00887EA5"/>
    <w:rsid w:val="00887EB3"/>
    <w:rsid w:val="00891E15"/>
    <w:rsid w:val="00892B79"/>
    <w:rsid w:val="00892EA0"/>
    <w:rsid w:val="0089355B"/>
    <w:rsid w:val="00895107"/>
    <w:rsid w:val="00895F9C"/>
    <w:rsid w:val="00896C1F"/>
    <w:rsid w:val="008A0A8B"/>
    <w:rsid w:val="008A2017"/>
    <w:rsid w:val="008A20B6"/>
    <w:rsid w:val="008A2A68"/>
    <w:rsid w:val="008A4560"/>
    <w:rsid w:val="008A4EF5"/>
    <w:rsid w:val="008A6244"/>
    <w:rsid w:val="008A68EB"/>
    <w:rsid w:val="008A7CE1"/>
    <w:rsid w:val="008B0BA9"/>
    <w:rsid w:val="008B108B"/>
    <w:rsid w:val="008B1BBB"/>
    <w:rsid w:val="008B3266"/>
    <w:rsid w:val="008B3284"/>
    <w:rsid w:val="008B3408"/>
    <w:rsid w:val="008B546D"/>
    <w:rsid w:val="008B5762"/>
    <w:rsid w:val="008B5F8F"/>
    <w:rsid w:val="008B6426"/>
    <w:rsid w:val="008B7E65"/>
    <w:rsid w:val="008C264C"/>
    <w:rsid w:val="008C29E1"/>
    <w:rsid w:val="008C3126"/>
    <w:rsid w:val="008C37BF"/>
    <w:rsid w:val="008C4900"/>
    <w:rsid w:val="008C4B4D"/>
    <w:rsid w:val="008C4C39"/>
    <w:rsid w:val="008C5243"/>
    <w:rsid w:val="008C5CDA"/>
    <w:rsid w:val="008C6FBA"/>
    <w:rsid w:val="008C70FF"/>
    <w:rsid w:val="008C74A5"/>
    <w:rsid w:val="008C7BD3"/>
    <w:rsid w:val="008C7C9A"/>
    <w:rsid w:val="008C7EAD"/>
    <w:rsid w:val="008D10C5"/>
    <w:rsid w:val="008D12F6"/>
    <w:rsid w:val="008D2449"/>
    <w:rsid w:val="008D2F41"/>
    <w:rsid w:val="008D32DE"/>
    <w:rsid w:val="008D3337"/>
    <w:rsid w:val="008D40BA"/>
    <w:rsid w:val="008D47A8"/>
    <w:rsid w:val="008D4B25"/>
    <w:rsid w:val="008D6451"/>
    <w:rsid w:val="008D73CE"/>
    <w:rsid w:val="008D73ED"/>
    <w:rsid w:val="008D7865"/>
    <w:rsid w:val="008E105A"/>
    <w:rsid w:val="008E169E"/>
    <w:rsid w:val="008E475E"/>
    <w:rsid w:val="008E5A02"/>
    <w:rsid w:val="008E5A49"/>
    <w:rsid w:val="008E6736"/>
    <w:rsid w:val="008E682F"/>
    <w:rsid w:val="008E6A74"/>
    <w:rsid w:val="008E7764"/>
    <w:rsid w:val="008F1504"/>
    <w:rsid w:val="008F2322"/>
    <w:rsid w:val="008F2AE1"/>
    <w:rsid w:val="008F3168"/>
    <w:rsid w:val="008F36ED"/>
    <w:rsid w:val="008F3B0B"/>
    <w:rsid w:val="008F3E26"/>
    <w:rsid w:val="008F45AF"/>
    <w:rsid w:val="008F4DC6"/>
    <w:rsid w:val="008F5A77"/>
    <w:rsid w:val="008F6231"/>
    <w:rsid w:val="008F65DE"/>
    <w:rsid w:val="008F6DAA"/>
    <w:rsid w:val="008F74D6"/>
    <w:rsid w:val="008F7A57"/>
    <w:rsid w:val="009003B5"/>
    <w:rsid w:val="009003F0"/>
    <w:rsid w:val="00901F7F"/>
    <w:rsid w:val="0090207B"/>
    <w:rsid w:val="0090258D"/>
    <w:rsid w:val="009029AC"/>
    <w:rsid w:val="00903FE3"/>
    <w:rsid w:val="009058E9"/>
    <w:rsid w:val="00906243"/>
    <w:rsid w:val="00907AEC"/>
    <w:rsid w:val="0091047C"/>
    <w:rsid w:val="00910C31"/>
    <w:rsid w:val="00910F30"/>
    <w:rsid w:val="009112B1"/>
    <w:rsid w:val="00914171"/>
    <w:rsid w:val="00915DBF"/>
    <w:rsid w:val="00916AAF"/>
    <w:rsid w:val="00917B9A"/>
    <w:rsid w:val="00920E24"/>
    <w:rsid w:val="00922DC7"/>
    <w:rsid w:val="00923ED5"/>
    <w:rsid w:val="00925B77"/>
    <w:rsid w:val="00926995"/>
    <w:rsid w:val="00927348"/>
    <w:rsid w:val="009302EF"/>
    <w:rsid w:val="00931028"/>
    <w:rsid w:val="0093135C"/>
    <w:rsid w:val="00931A49"/>
    <w:rsid w:val="00931C86"/>
    <w:rsid w:val="00931F25"/>
    <w:rsid w:val="009322C1"/>
    <w:rsid w:val="00932A1C"/>
    <w:rsid w:val="00932AF7"/>
    <w:rsid w:val="00933668"/>
    <w:rsid w:val="009336BF"/>
    <w:rsid w:val="00935E26"/>
    <w:rsid w:val="0093756A"/>
    <w:rsid w:val="00940315"/>
    <w:rsid w:val="00941455"/>
    <w:rsid w:val="00941A0D"/>
    <w:rsid w:val="00941D37"/>
    <w:rsid w:val="00941EA9"/>
    <w:rsid w:val="00941F7D"/>
    <w:rsid w:val="00942783"/>
    <w:rsid w:val="0094382B"/>
    <w:rsid w:val="00943A4F"/>
    <w:rsid w:val="009444CC"/>
    <w:rsid w:val="00945198"/>
    <w:rsid w:val="00945409"/>
    <w:rsid w:val="00945CE4"/>
    <w:rsid w:val="00946A97"/>
    <w:rsid w:val="00946F64"/>
    <w:rsid w:val="009472A4"/>
    <w:rsid w:val="009479C1"/>
    <w:rsid w:val="00947D3D"/>
    <w:rsid w:val="00951279"/>
    <w:rsid w:val="009514D0"/>
    <w:rsid w:val="00952403"/>
    <w:rsid w:val="0095604F"/>
    <w:rsid w:val="00956F4D"/>
    <w:rsid w:val="009573FB"/>
    <w:rsid w:val="00957B01"/>
    <w:rsid w:val="0096028E"/>
    <w:rsid w:val="0096177E"/>
    <w:rsid w:val="00961F33"/>
    <w:rsid w:val="00962B20"/>
    <w:rsid w:val="00963049"/>
    <w:rsid w:val="00963643"/>
    <w:rsid w:val="00963699"/>
    <w:rsid w:val="0096404B"/>
    <w:rsid w:val="009640AB"/>
    <w:rsid w:val="009647E8"/>
    <w:rsid w:val="009648D1"/>
    <w:rsid w:val="00965456"/>
    <w:rsid w:val="00965572"/>
    <w:rsid w:val="00965B81"/>
    <w:rsid w:val="0096607C"/>
    <w:rsid w:val="00967502"/>
    <w:rsid w:val="00967DCE"/>
    <w:rsid w:val="00970842"/>
    <w:rsid w:val="00970E7C"/>
    <w:rsid w:val="00972EBC"/>
    <w:rsid w:val="00973296"/>
    <w:rsid w:val="0097356B"/>
    <w:rsid w:val="009745CF"/>
    <w:rsid w:val="00975121"/>
    <w:rsid w:val="009751CA"/>
    <w:rsid w:val="00975A8F"/>
    <w:rsid w:val="00977A2D"/>
    <w:rsid w:val="00977ACE"/>
    <w:rsid w:val="00977CBF"/>
    <w:rsid w:val="00977FA4"/>
    <w:rsid w:val="0098019A"/>
    <w:rsid w:val="009809AD"/>
    <w:rsid w:val="009809D2"/>
    <w:rsid w:val="00981D58"/>
    <w:rsid w:val="0098211D"/>
    <w:rsid w:val="0098367D"/>
    <w:rsid w:val="00983B2A"/>
    <w:rsid w:val="00983C73"/>
    <w:rsid w:val="00983F7B"/>
    <w:rsid w:val="009842EF"/>
    <w:rsid w:val="009849A5"/>
    <w:rsid w:val="00984E0E"/>
    <w:rsid w:val="009853D6"/>
    <w:rsid w:val="00986203"/>
    <w:rsid w:val="0098620C"/>
    <w:rsid w:val="00986796"/>
    <w:rsid w:val="0098732E"/>
    <w:rsid w:val="009875AD"/>
    <w:rsid w:val="00990938"/>
    <w:rsid w:val="0099199E"/>
    <w:rsid w:val="00991A1B"/>
    <w:rsid w:val="009923E4"/>
    <w:rsid w:val="009929F1"/>
    <w:rsid w:val="009932FB"/>
    <w:rsid w:val="0099372A"/>
    <w:rsid w:val="00993A4C"/>
    <w:rsid w:val="0099468A"/>
    <w:rsid w:val="00995087"/>
    <w:rsid w:val="00996885"/>
    <w:rsid w:val="009A00EF"/>
    <w:rsid w:val="009A0BE9"/>
    <w:rsid w:val="009A28B5"/>
    <w:rsid w:val="009A2B72"/>
    <w:rsid w:val="009A357C"/>
    <w:rsid w:val="009A3E77"/>
    <w:rsid w:val="009A4AFA"/>
    <w:rsid w:val="009A4FF5"/>
    <w:rsid w:val="009A6611"/>
    <w:rsid w:val="009A67EB"/>
    <w:rsid w:val="009A6992"/>
    <w:rsid w:val="009A6F39"/>
    <w:rsid w:val="009A7967"/>
    <w:rsid w:val="009B0FA5"/>
    <w:rsid w:val="009B2979"/>
    <w:rsid w:val="009B4288"/>
    <w:rsid w:val="009B4923"/>
    <w:rsid w:val="009B5696"/>
    <w:rsid w:val="009B696B"/>
    <w:rsid w:val="009C034E"/>
    <w:rsid w:val="009C0B97"/>
    <w:rsid w:val="009C0BEB"/>
    <w:rsid w:val="009C0DFF"/>
    <w:rsid w:val="009C1756"/>
    <w:rsid w:val="009C1D19"/>
    <w:rsid w:val="009C24E6"/>
    <w:rsid w:val="009C2596"/>
    <w:rsid w:val="009C259C"/>
    <w:rsid w:val="009C2F41"/>
    <w:rsid w:val="009C472D"/>
    <w:rsid w:val="009C513B"/>
    <w:rsid w:val="009C6F47"/>
    <w:rsid w:val="009C712F"/>
    <w:rsid w:val="009D09A6"/>
    <w:rsid w:val="009D0D9E"/>
    <w:rsid w:val="009D2619"/>
    <w:rsid w:val="009D3DAE"/>
    <w:rsid w:val="009D4A82"/>
    <w:rsid w:val="009D55A0"/>
    <w:rsid w:val="009D63EC"/>
    <w:rsid w:val="009D6EB5"/>
    <w:rsid w:val="009D7330"/>
    <w:rsid w:val="009E07DA"/>
    <w:rsid w:val="009E0F09"/>
    <w:rsid w:val="009E0F99"/>
    <w:rsid w:val="009E15DE"/>
    <w:rsid w:val="009E3C80"/>
    <w:rsid w:val="009E56C0"/>
    <w:rsid w:val="009E5D54"/>
    <w:rsid w:val="009E5E7D"/>
    <w:rsid w:val="009E6E14"/>
    <w:rsid w:val="009E6E7D"/>
    <w:rsid w:val="009E6F2A"/>
    <w:rsid w:val="009F0074"/>
    <w:rsid w:val="009F1294"/>
    <w:rsid w:val="009F17E4"/>
    <w:rsid w:val="009F27B1"/>
    <w:rsid w:val="009F3977"/>
    <w:rsid w:val="009F3980"/>
    <w:rsid w:val="009F434A"/>
    <w:rsid w:val="009F4953"/>
    <w:rsid w:val="009F5B0A"/>
    <w:rsid w:val="009F7665"/>
    <w:rsid w:val="009F7FB7"/>
    <w:rsid w:val="00A00F06"/>
    <w:rsid w:val="00A02653"/>
    <w:rsid w:val="00A03417"/>
    <w:rsid w:val="00A037BB"/>
    <w:rsid w:val="00A04399"/>
    <w:rsid w:val="00A04E23"/>
    <w:rsid w:val="00A04E85"/>
    <w:rsid w:val="00A056D0"/>
    <w:rsid w:val="00A05BAC"/>
    <w:rsid w:val="00A061D1"/>
    <w:rsid w:val="00A06542"/>
    <w:rsid w:val="00A06D6C"/>
    <w:rsid w:val="00A07AFE"/>
    <w:rsid w:val="00A10A81"/>
    <w:rsid w:val="00A12618"/>
    <w:rsid w:val="00A12A98"/>
    <w:rsid w:val="00A14203"/>
    <w:rsid w:val="00A1491D"/>
    <w:rsid w:val="00A15159"/>
    <w:rsid w:val="00A15B23"/>
    <w:rsid w:val="00A15CEE"/>
    <w:rsid w:val="00A16BD5"/>
    <w:rsid w:val="00A1731E"/>
    <w:rsid w:val="00A203AF"/>
    <w:rsid w:val="00A2089E"/>
    <w:rsid w:val="00A20E93"/>
    <w:rsid w:val="00A21BDB"/>
    <w:rsid w:val="00A225BE"/>
    <w:rsid w:val="00A230AC"/>
    <w:rsid w:val="00A24180"/>
    <w:rsid w:val="00A241D9"/>
    <w:rsid w:val="00A24DD0"/>
    <w:rsid w:val="00A24F1D"/>
    <w:rsid w:val="00A251A3"/>
    <w:rsid w:val="00A25502"/>
    <w:rsid w:val="00A25631"/>
    <w:rsid w:val="00A25D65"/>
    <w:rsid w:val="00A264DB"/>
    <w:rsid w:val="00A2680F"/>
    <w:rsid w:val="00A275D5"/>
    <w:rsid w:val="00A30C77"/>
    <w:rsid w:val="00A32311"/>
    <w:rsid w:val="00A3351C"/>
    <w:rsid w:val="00A34D13"/>
    <w:rsid w:val="00A37069"/>
    <w:rsid w:val="00A3724E"/>
    <w:rsid w:val="00A37DE4"/>
    <w:rsid w:val="00A37E51"/>
    <w:rsid w:val="00A40860"/>
    <w:rsid w:val="00A40B38"/>
    <w:rsid w:val="00A41888"/>
    <w:rsid w:val="00A420CD"/>
    <w:rsid w:val="00A42505"/>
    <w:rsid w:val="00A4251B"/>
    <w:rsid w:val="00A42E8D"/>
    <w:rsid w:val="00A4320F"/>
    <w:rsid w:val="00A438BA"/>
    <w:rsid w:val="00A43DB7"/>
    <w:rsid w:val="00A4441F"/>
    <w:rsid w:val="00A44571"/>
    <w:rsid w:val="00A45D9A"/>
    <w:rsid w:val="00A4632C"/>
    <w:rsid w:val="00A46807"/>
    <w:rsid w:val="00A4724F"/>
    <w:rsid w:val="00A47428"/>
    <w:rsid w:val="00A504E0"/>
    <w:rsid w:val="00A50738"/>
    <w:rsid w:val="00A50BEF"/>
    <w:rsid w:val="00A52CCD"/>
    <w:rsid w:val="00A53C92"/>
    <w:rsid w:val="00A53CC3"/>
    <w:rsid w:val="00A54CB0"/>
    <w:rsid w:val="00A54E56"/>
    <w:rsid w:val="00A55077"/>
    <w:rsid w:val="00A565E8"/>
    <w:rsid w:val="00A56C51"/>
    <w:rsid w:val="00A56FFA"/>
    <w:rsid w:val="00A56FFF"/>
    <w:rsid w:val="00A5781E"/>
    <w:rsid w:val="00A57A61"/>
    <w:rsid w:val="00A57A83"/>
    <w:rsid w:val="00A57B1C"/>
    <w:rsid w:val="00A62E00"/>
    <w:rsid w:val="00A633DF"/>
    <w:rsid w:val="00A63EA2"/>
    <w:rsid w:val="00A6539C"/>
    <w:rsid w:val="00A657B7"/>
    <w:rsid w:val="00A65B88"/>
    <w:rsid w:val="00A65E81"/>
    <w:rsid w:val="00A66A8D"/>
    <w:rsid w:val="00A66BB9"/>
    <w:rsid w:val="00A6785F"/>
    <w:rsid w:val="00A67CA3"/>
    <w:rsid w:val="00A70149"/>
    <w:rsid w:val="00A7031C"/>
    <w:rsid w:val="00A7139B"/>
    <w:rsid w:val="00A713FC"/>
    <w:rsid w:val="00A71672"/>
    <w:rsid w:val="00A72161"/>
    <w:rsid w:val="00A72A1B"/>
    <w:rsid w:val="00A72CC0"/>
    <w:rsid w:val="00A72E9C"/>
    <w:rsid w:val="00A73CAD"/>
    <w:rsid w:val="00A7678A"/>
    <w:rsid w:val="00A767B9"/>
    <w:rsid w:val="00A8189B"/>
    <w:rsid w:val="00A81E9F"/>
    <w:rsid w:val="00A82421"/>
    <w:rsid w:val="00A83057"/>
    <w:rsid w:val="00A849EA"/>
    <w:rsid w:val="00A84C26"/>
    <w:rsid w:val="00A8553B"/>
    <w:rsid w:val="00A859E4"/>
    <w:rsid w:val="00A90A87"/>
    <w:rsid w:val="00A9194C"/>
    <w:rsid w:val="00A91CCC"/>
    <w:rsid w:val="00A92BD5"/>
    <w:rsid w:val="00A92FEF"/>
    <w:rsid w:val="00A933B2"/>
    <w:rsid w:val="00A935AA"/>
    <w:rsid w:val="00A93F37"/>
    <w:rsid w:val="00A94FEC"/>
    <w:rsid w:val="00A950EF"/>
    <w:rsid w:val="00A9513F"/>
    <w:rsid w:val="00A95BB5"/>
    <w:rsid w:val="00A97A8B"/>
    <w:rsid w:val="00A97F68"/>
    <w:rsid w:val="00AA1379"/>
    <w:rsid w:val="00AA1899"/>
    <w:rsid w:val="00AA1C48"/>
    <w:rsid w:val="00AA1CD0"/>
    <w:rsid w:val="00AA330A"/>
    <w:rsid w:val="00AA34FF"/>
    <w:rsid w:val="00AA4142"/>
    <w:rsid w:val="00AA5453"/>
    <w:rsid w:val="00AA5609"/>
    <w:rsid w:val="00AA5EC1"/>
    <w:rsid w:val="00AA7184"/>
    <w:rsid w:val="00AA74D3"/>
    <w:rsid w:val="00AA775F"/>
    <w:rsid w:val="00AA7F64"/>
    <w:rsid w:val="00AB14F0"/>
    <w:rsid w:val="00AB1D51"/>
    <w:rsid w:val="00AB28C6"/>
    <w:rsid w:val="00AB41EF"/>
    <w:rsid w:val="00AB42B9"/>
    <w:rsid w:val="00AB465D"/>
    <w:rsid w:val="00AB48CC"/>
    <w:rsid w:val="00AB4D71"/>
    <w:rsid w:val="00AB5471"/>
    <w:rsid w:val="00AB6630"/>
    <w:rsid w:val="00AB6950"/>
    <w:rsid w:val="00AB7552"/>
    <w:rsid w:val="00AB7627"/>
    <w:rsid w:val="00AB77C4"/>
    <w:rsid w:val="00AB7A8D"/>
    <w:rsid w:val="00AC00C6"/>
    <w:rsid w:val="00AC05DC"/>
    <w:rsid w:val="00AC2130"/>
    <w:rsid w:val="00AC284F"/>
    <w:rsid w:val="00AC3ECC"/>
    <w:rsid w:val="00AC410C"/>
    <w:rsid w:val="00AC422B"/>
    <w:rsid w:val="00AC453C"/>
    <w:rsid w:val="00AC4601"/>
    <w:rsid w:val="00AC5858"/>
    <w:rsid w:val="00AC5BE4"/>
    <w:rsid w:val="00AC706D"/>
    <w:rsid w:val="00AC7631"/>
    <w:rsid w:val="00AC769A"/>
    <w:rsid w:val="00AC76DE"/>
    <w:rsid w:val="00AC7EC8"/>
    <w:rsid w:val="00AD0011"/>
    <w:rsid w:val="00AD2107"/>
    <w:rsid w:val="00AD2353"/>
    <w:rsid w:val="00AD24BA"/>
    <w:rsid w:val="00AD4BA4"/>
    <w:rsid w:val="00AD553D"/>
    <w:rsid w:val="00AD5C58"/>
    <w:rsid w:val="00AD62A4"/>
    <w:rsid w:val="00AD6DC1"/>
    <w:rsid w:val="00AD7018"/>
    <w:rsid w:val="00AD7919"/>
    <w:rsid w:val="00AD7EC3"/>
    <w:rsid w:val="00AE0037"/>
    <w:rsid w:val="00AE0B4E"/>
    <w:rsid w:val="00AE0C4A"/>
    <w:rsid w:val="00AE0DBE"/>
    <w:rsid w:val="00AE1334"/>
    <w:rsid w:val="00AE1CA0"/>
    <w:rsid w:val="00AE22B5"/>
    <w:rsid w:val="00AE283E"/>
    <w:rsid w:val="00AE479E"/>
    <w:rsid w:val="00AE56CA"/>
    <w:rsid w:val="00AE5929"/>
    <w:rsid w:val="00AE674B"/>
    <w:rsid w:val="00AE69B0"/>
    <w:rsid w:val="00AE6C65"/>
    <w:rsid w:val="00AE6FA5"/>
    <w:rsid w:val="00AE7846"/>
    <w:rsid w:val="00AE7A00"/>
    <w:rsid w:val="00AE7D53"/>
    <w:rsid w:val="00AF04A6"/>
    <w:rsid w:val="00AF0A46"/>
    <w:rsid w:val="00AF0E2F"/>
    <w:rsid w:val="00AF0EC3"/>
    <w:rsid w:val="00AF25EF"/>
    <w:rsid w:val="00AF2912"/>
    <w:rsid w:val="00AF2D9A"/>
    <w:rsid w:val="00AF316F"/>
    <w:rsid w:val="00AF317F"/>
    <w:rsid w:val="00AF3FA5"/>
    <w:rsid w:val="00AF44C9"/>
    <w:rsid w:val="00AF492C"/>
    <w:rsid w:val="00AF5ADA"/>
    <w:rsid w:val="00AF7431"/>
    <w:rsid w:val="00B013E4"/>
    <w:rsid w:val="00B02432"/>
    <w:rsid w:val="00B03075"/>
    <w:rsid w:val="00B03E64"/>
    <w:rsid w:val="00B04A84"/>
    <w:rsid w:val="00B05222"/>
    <w:rsid w:val="00B067B3"/>
    <w:rsid w:val="00B078A0"/>
    <w:rsid w:val="00B07CE6"/>
    <w:rsid w:val="00B10C28"/>
    <w:rsid w:val="00B11C4F"/>
    <w:rsid w:val="00B11CB7"/>
    <w:rsid w:val="00B12688"/>
    <w:rsid w:val="00B12CEF"/>
    <w:rsid w:val="00B13A02"/>
    <w:rsid w:val="00B1402E"/>
    <w:rsid w:val="00B15CA1"/>
    <w:rsid w:val="00B15E71"/>
    <w:rsid w:val="00B1676D"/>
    <w:rsid w:val="00B16E8C"/>
    <w:rsid w:val="00B17122"/>
    <w:rsid w:val="00B17B15"/>
    <w:rsid w:val="00B20C52"/>
    <w:rsid w:val="00B219AE"/>
    <w:rsid w:val="00B21A6F"/>
    <w:rsid w:val="00B21B8F"/>
    <w:rsid w:val="00B22185"/>
    <w:rsid w:val="00B2276E"/>
    <w:rsid w:val="00B229A6"/>
    <w:rsid w:val="00B23A0B"/>
    <w:rsid w:val="00B24953"/>
    <w:rsid w:val="00B2662A"/>
    <w:rsid w:val="00B26AA3"/>
    <w:rsid w:val="00B26B09"/>
    <w:rsid w:val="00B30DA1"/>
    <w:rsid w:val="00B312FB"/>
    <w:rsid w:val="00B31EF1"/>
    <w:rsid w:val="00B324D6"/>
    <w:rsid w:val="00B326AB"/>
    <w:rsid w:val="00B32E13"/>
    <w:rsid w:val="00B333EB"/>
    <w:rsid w:val="00B33926"/>
    <w:rsid w:val="00B33AD0"/>
    <w:rsid w:val="00B3425E"/>
    <w:rsid w:val="00B34715"/>
    <w:rsid w:val="00B35AFA"/>
    <w:rsid w:val="00B36424"/>
    <w:rsid w:val="00B36460"/>
    <w:rsid w:val="00B368FE"/>
    <w:rsid w:val="00B4164B"/>
    <w:rsid w:val="00B420E1"/>
    <w:rsid w:val="00B425BA"/>
    <w:rsid w:val="00B426BB"/>
    <w:rsid w:val="00B42BF2"/>
    <w:rsid w:val="00B43506"/>
    <w:rsid w:val="00B43831"/>
    <w:rsid w:val="00B442CF"/>
    <w:rsid w:val="00B44DE9"/>
    <w:rsid w:val="00B45C8F"/>
    <w:rsid w:val="00B462E9"/>
    <w:rsid w:val="00B463B7"/>
    <w:rsid w:val="00B469B7"/>
    <w:rsid w:val="00B50011"/>
    <w:rsid w:val="00B5034A"/>
    <w:rsid w:val="00B503E5"/>
    <w:rsid w:val="00B50813"/>
    <w:rsid w:val="00B5090C"/>
    <w:rsid w:val="00B50FDE"/>
    <w:rsid w:val="00B51444"/>
    <w:rsid w:val="00B5181C"/>
    <w:rsid w:val="00B533C2"/>
    <w:rsid w:val="00B53506"/>
    <w:rsid w:val="00B55837"/>
    <w:rsid w:val="00B55F04"/>
    <w:rsid w:val="00B57A33"/>
    <w:rsid w:val="00B57AD1"/>
    <w:rsid w:val="00B607F7"/>
    <w:rsid w:val="00B60B4B"/>
    <w:rsid w:val="00B61816"/>
    <w:rsid w:val="00B61A00"/>
    <w:rsid w:val="00B62037"/>
    <w:rsid w:val="00B6262C"/>
    <w:rsid w:val="00B63C9A"/>
    <w:rsid w:val="00B63D4F"/>
    <w:rsid w:val="00B64745"/>
    <w:rsid w:val="00B65110"/>
    <w:rsid w:val="00B65B43"/>
    <w:rsid w:val="00B668EF"/>
    <w:rsid w:val="00B70281"/>
    <w:rsid w:val="00B7076C"/>
    <w:rsid w:val="00B70C45"/>
    <w:rsid w:val="00B72004"/>
    <w:rsid w:val="00B728CE"/>
    <w:rsid w:val="00B72963"/>
    <w:rsid w:val="00B733A7"/>
    <w:rsid w:val="00B73A06"/>
    <w:rsid w:val="00B7446B"/>
    <w:rsid w:val="00B7452F"/>
    <w:rsid w:val="00B75387"/>
    <w:rsid w:val="00B75BE5"/>
    <w:rsid w:val="00B76231"/>
    <w:rsid w:val="00B76949"/>
    <w:rsid w:val="00B76C36"/>
    <w:rsid w:val="00B773D6"/>
    <w:rsid w:val="00B77DE3"/>
    <w:rsid w:val="00B77F68"/>
    <w:rsid w:val="00B80AA1"/>
    <w:rsid w:val="00B80B03"/>
    <w:rsid w:val="00B80B9C"/>
    <w:rsid w:val="00B8123C"/>
    <w:rsid w:val="00B827B9"/>
    <w:rsid w:val="00B828C0"/>
    <w:rsid w:val="00B84591"/>
    <w:rsid w:val="00B84603"/>
    <w:rsid w:val="00B84A44"/>
    <w:rsid w:val="00B84BC7"/>
    <w:rsid w:val="00B84E84"/>
    <w:rsid w:val="00B854E6"/>
    <w:rsid w:val="00B858BB"/>
    <w:rsid w:val="00B86899"/>
    <w:rsid w:val="00B868C6"/>
    <w:rsid w:val="00B8726B"/>
    <w:rsid w:val="00B90B32"/>
    <w:rsid w:val="00B91493"/>
    <w:rsid w:val="00B91AEB"/>
    <w:rsid w:val="00B9205B"/>
    <w:rsid w:val="00B9219E"/>
    <w:rsid w:val="00B92766"/>
    <w:rsid w:val="00B93137"/>
    <w:rsid w:val="00B95428"/>
    <w:rsid w:val="00B95F69"/>
    <w:rsid w:val="00B972CA"/>
    <w:rsid w:val="00B97648"/>
    <w:rsid w:val="00B979AE"/>
    <w:rsid w:val="00BA17BB"/>
    <w:rsid w:val="00BA24ED"/>
    <w:rsid w:val="00BA25F5"/>
    <w:rsid w:val="00BA27AA"/>
    <w:rsid w:val="00BA2ADE"/>
    <w:rsid w:val="00BA32E8"/>
    <w:rsid w:val="00BA3A5F"/>
    <w:rsid w:val="00BA4482"/>
    <w:rsid w:val="00BA4F80"/>
    <w:rsid w:val="00BA5189"/>
    <w:rsid w:val="00BA57B3"/>
    <w:rsid w:val="00BA6D88"/>
    <w:rsid w:val="00BA7129"/>
    <w:rsid w:val="00BA7595"/>
    <w:rsid w:val="00BA7901"/>
    <w:rsid w:val="00BA7A7D"/>
    <w:rsid w:val="00BA7F06"/>
    <w:rsid w:val="00BB0160"/>
    <w:rsid w:val="00BB08B4"/>
    <w:rsid w:val="00BB11E7"/>
    <w:rsid w:val="00BB1974"/>
    <w:rsid w:val="00BB3558"/>
    <w:rsid w:val="00BB4C86"/>
    <w:rsid w:val="00BB527A"/>
    <w:rsid w:val="00BB56D9"/>
    <w:rsid w:val="00BB6392"/>
    <w:rsid w:val="00BB7044"/>
    <w:rsid w:val="00BB75CC"/>
    <w:rsid w:val="00BB7A9B"/>
    <w:rsid w:val="00BC04A1"/>
    <w:rsid w:val="00BC289C"/>
    <w:rsid w:val="00BC28FA"/>
    <w:rsid w:val="00BC3D90"/>
    <w:rsid w:val="00BC4681"/>
    <w:rsid w:val="00BC5800"/>
    <w:rsid w:val="00BC6FFE"/>
    <w:rsid w:val="00BD00FF"/>
    <w:rsid w:val="00BD05F8"/>
    <w:rsid w:val="00BD137E"/>
    <w:rsid w:val="00BD1432"/>
    <w:rsid w:val="00BD1FF6"/>
    <w:rsid w:val="00BD2212"/>
    <w:rsid w:val="00BD2312"/>
    <w:rsid w:val="00BD30DE"/>
    <w:rsid w:val="00BD3109"/>
    <w:rsid w:val="00BD3E01"/>
    <w:rsid w:val="00BD4332"/>
    <w:rsid w:val="00BD43BD"/>
    <w:rsid w:val="00BD43CC"/>
    <w:rsid w:val="00BD49D0"/>
    <w:rsid w:val="00BD5DD8"/>
    <w:rsid w:val="00BD62EF"/>
    <w:rsid w:val="00BD6FD1"/>
    <w:rsid w:val="00BD6FE8"/>
    <w:rsid w:val="00BD71FE"/>
    <w:rsid w:val="00BD7DB8"/>
    <w:rsid w:val="00BE1B03"/>
    <w:rsid w:val="00BE259E"/>
    <w:rsid w:val="00BE2763"/>
    <w:rsid w:val="00BE3D7E"/>
    <w:rsid w:val="00BE41C5"/>
    <w:rsid w:val="00BE4A53"/>
    <w:rsid w:val="00BE5674"/>
    <w:rsid w:val="00BE56EC"/>
    <w:rsid w:val="00BE6ECF"/>
    <w:rsid w:val="00BF0508"/>
    <w:rsid w:val="00BF12E2"/>
    <w:rsid w:val="00BF1806"/>
    <w:rsid w:val="00BF2A14"/>
    <w:rsid w:val="00BF40E6"/>
    <w:rsid w:val="00BF458D"/>
    <w:rsid w:val="00BF6908"/>
    <w:rsid w:val="00BF7847"/>
    <w:rsid w:val="00C00638"/>
    <w:rsid w:val="00C00775"/>
    <w:rsid w:val="00C009A8"/>
    <w:rsid w:val="00C00A2F"/>
    <w:rsid w:val="00C00E5C"/>
    <w:rsid w:val="00C0189A"/>
    <w:rsid w:val="00C019CA"/>
    <w:rsid w:val="00C01BDD"/>
    <w:rsid w:val="00C021FC"/>
    <w:rsid w:val="00C02891"/>
    <w:rsid w:val="00C0318C"/>
    <w:rsid w:val="00C04289"/>
    <w:rsid w:val="00C0668F"/>
    <w:rsid w:val="00C0710D"/>
    <w:rsid w:val="00C07665"/>
    <w:rsid w:val="00C0777E"/>
    <w:rsid w:val="00C078DE"/>
    <w:rsid w:val="00C07F03"/>
    <w:rsid w:val="00C1074D"/>
    <w:rsid w:val="00C10D72"/>
    <w:rsid w:val="00C117B8"/>
    <w:rsid w:val="00C122C5"/>
    <w:rsid w:val="00C12DA7"/>
    <w:rsid w:val="00C12F87"/>
    <w:rsid w:val="00C13668"/>
    <w:rsid w:val="00C142A8"/>
    <w:rsid w:val="00C14761"/>
    <w:rsid w:val="00C147B1"/>
    <w:rsid w:val="00C159C6"/>
    <w:rsid w:val="00C15AD2"/>
    <w:rsid w:val="00C1644B"/>
    <w:rsid w:val="00C177F4"/>
    <w:rsid w:val="00C2180D"/>
    <w:rsid w:val="00C218B4"/>
    <w:rsid w:val="00C2191C"/>
    <w:rsid w:val="00C219B9"/>
    <w:rsid w:val="00C22967"/>
    <w:rsid w:val="00C232DA"/>
    <w:rsid w:val="00C23783"/>
    <w:rsid w:val="00C2492D"/>
    <w:rsid w:val="00C24A5A"/>
    <w:rsid w:val="00C25005"/>
    <w:rsid w:val="00C25285"/>
    <w:rsid w:val="00C25C16"/>
    <w:rsid w:val="00C2672C"/>
    <w:rsid w:val="00C268B0"/>
    <w:rsid w:val="00C30BE9"/>
    <w:rsid w:val="00C30F47"/>
    <w:rsid w:val="00C311BD"/>
    <w:rsid w:val="00C32C08"/>
    <w:rsid w:val="00C32F18"/>
    <w:rsid w:val="00C33601"/>
    <w:rsid w:val="00C33680"/>
    <w:rsid w:val="00C33E57"/>
    <w:rsid w:val="00C34020"/>
    <w:rsid w:val="00C34031"/>
    <w:rsid w:val="00C35609"/>
    <w:rsid w:val="00C360C3"/>
    <w:rsid w:val="00C36519"/>
    <w:rsid w:val="00C36844"/>
    <w:rsid w:val="00C370CD"/>
    <w:rsid w:val="00C37402"/>
    <w:rsid w:val="00C40420"/>
    <w:rsid w:val="00C40AF2"/>
    <w:rsid w:val="00C40B33"/>
    <w:rsid w:val="00C411DC"/>
    <w:rsid w:val="00C4181D"/>
    <w:rsid w:val="00C41A4C"/>
    <w:rsid w:val="00C42022"/>
    <w:rsid w:val="00C4226A"/>
    <w:rsid w:val="00C427F3"/>
    <w:rsid w:val="00C44510"/>
    <w:rsid w:val="00C44C18"/>
    <w:rsid w:val="00C47E52"/>
    <w:rsid w:val="00C500D9"/>
    <w:rsid w:val="00C53289"/>
    <w:rsid w:val="00C538D5"/>
    <w:rsid w:val="00C53B48"/>
    <w:rsid w:val="00C5438B"/>
    <w:rsid w:val="00C55D98"/>
    <w:rsid w:val="00C5605A"/>
    <w:rsid w:val="00C565C8"/>
    <w:rsid w:val="00C56D79"/>
    <w:rsid w:val="00C56F52"/>
    <w:rsid w:val="00C574D7"/>
    <w:rsid w:val="00C600B4"/>
    <w:rsid w:val="00C60B0E"/>
    <w:rsid w:val="00C63577"/>
    <w:rsid w:val="00C65672"/>
    <w:rsid w:val="00C65D92"/>
    <w:rsid w:val="00C66E81"/>
    <w:rsid w:val="00C67B08"/>
    <w:rsid w:val="00C67E4B"/>
    <w:rsid w:val="00C70396"/>
    <w:rsid w:val="00C70D3F"/>
    <w:rsid w:val="00C710FE"/>
    <w:rsid w:val="00C71AE5"/>
    <w:rsid w:val="00C72713"/>
    <w:rsid w:val="00C7319D"/>
    <w:rsid w:val="00C73976"/>
    <w:rsid w:val="00C74677"/>
    <w:rsid w:val="00C76DE7"/>
    <w:rsid w:val="00C77D82"/>
    <w:rsid w:val="00C8015E"/>
    <w:rsid w:val="00C803BD"/>
    <w:rsid w:val="00C8133D"/>
    <w:rsid w:val="00C81618"/>
    <w:rsid w:val="00C81F8B"/>
    <w:rsid w:val="00C82DB1"/>
    <w:rsid w:val="00C845F8"/>
    <w:rsid w:val="00C8477F"/>
    <w:rsid w:val="00C857EB"/>
    <w:rsid w:val="00C85830"/>
    <w:rsid w:val="00C85C1A"/>
    <w:rsid w:val="00C85D17"/>
    <w:rsid w:val="00C90A51"/>
    <w:rsid w:val="00C9158B"/>
    <w:rsid w:val="00C92420"/>
    <w:rsid w:val="00C92A62"/>
    <w:rsid w:val="00C936A8"/>
    <w:rsid w:val="00C93D6F"/>
    <w:rsid w:val="00C93DDE"/>
    <w:rsid w:val="00C94AE1"/>
    <w:rsid w:val="00C9557F"/>
    <w:rsid w:val="00C9567B"/>
    <w:rsid w:val="00C959CC"/>
    <w:rsid w:val="00C96A58"/>
    <w:rsid w:val="00C96BBA"/>
    <w:rsid w:val="00C96EDF"/>
    <w:rsid w:val="00CA00B1"/>
    <w:rsid w:val="00CA0201"/>
    <w:rsid w:val="00CA0E52"/>
    <w:rsid w:val="00CA0E64"/>
    <w:rsid w:val="00CA19C4"/>
    <w:rsid w:val="00CA1D3D"/>
    <w:rsid w:val="00CA23B8"/>
    <w:rsid w:val="00CA2C6F"/>
    <w:rsid w:val="00CA2F91"/>
    <w:rsid w:val="00CA36CF"/>
    <w:rsid w:val="00CA5E2E"/>
    <w:rsid w:val="00CA780D"/>
    <w:rsid w:val="00CB1AA9"/>
    <w:rsid w:val="00CB1C07"/>
    <w:rsid w:val="00CB2311"/>
    <w:rsid w:val="00CB36D7"/>
    <w:rsid w:val="00CB3D47"/>
    <w:rsid w:val="00CB3FB1"/>
    <w:rsid w:val="00CB40A4"/>
    <w:rsid w:val="00CB4702"/>
    <w:rsid w:val="00CB4FF3"/>
    <w:rsid w:val="00CB7C4F"/>
    <w:rsid w:val="00CC095B"/>
    <w:rsid w:val="00CC1279"/>
    <w:rsid w:val="00CC14CF"/>
    <w:rsid w:val="00CC14D9"/>
    <w:rsid w:val="00CC23F2"/>
    <w:rsid w:val="00CC258F"/>
    <w:rsid w:val="00CC308F"/>
    <w:rsid w:val="00CC3DCD"/>
    <w:rsid w:val="00CC460D"/>
    <w:rsid w:val="00CC5894"/>
    <w:rsid w:val="00CC5DB3"/>
    <w:rsid w:val="00CC6D20"/>
    <w:rsid w:val="00CD0D1A"/>
    <w:rsid w:val="00CD1AF1"/>
    <w:rsid w:val="00CD24F9"/>
    <w:rsid w:val="00CD2597"/>
    <w:rsid w:val="00CD25FC"/>
    <w:rsid w:val="00CD2931"/>
    <w:rsid w:val="00CD373F"/>
    <w:rsid w:val="00CD3BF1"/>
    <w:rsid w:val="00CD51C1"/>
    <w:rsid w:val="00CD52B0"/>
    <w:rsid w:val="00CD60A3"/>
    <w:rsid w:val="00CD717C"/>
    <w:rsid w:val="00CD7C7C"/>
    <w:rsid w:val="00CE02AD"/>
    <w:rsid w:val="00CE0836"/>
    <w:rsid w:val="00CE0A3E"/>
    <w:rsid w:val="00CE0BDE"/>
    <w:rsid w:val="00CE18F1"/>
    <w:rsid w:val="00CE19EA"/>
    <w:rsid w:val="00CE1FEA"/>
    <w:rsid w:val="00CE2DE7"/>
    <w:rsid w:val="00CE2E50"/>
    <w:rsid w:val="00CE51E2"/>
    <w:rsid w:val="00CE54D9"/>
    <w:rsid w:val="00CE568C"/>
    <w:rsid w:val="00CE77BF"/>
    <w:rsid w:val="00CF0BFB"/>
    <w:rsid w:val="00CF0DE8"/>
    <w:rsid w:val="00CF2093"/>
    <w:rsid w:val="00CF25F1"/>
    <w:rsid w:val="00CF276E"/>
    <w:rsid w:val="00CF3853"/>
    <w:rsid w:val="00CF40F8"/>
    <w:rsid w:val="00CF4127"/>
    <w:rsid w:val="00CF43CB"/>
    <w:rsid w:val="00CF4841"/>
    <w:rsid w:val="00CF4849"/>
    <w:rsid w:val="00CF4918"/>
    <w:rsid w:val="00CF5842"/>
    <w:rsid w:val="00CF5E77"/>
    <w:rsid w:val="00CF6089"/>
    <w:rsid w:val="00CF6BE3"/>
    <w:rsid w:val="00D00856"/>
    <w:rsid w:val="00D01772"/>
    <w:rsid w:val="00D017CF"/>
    <w:rsid w:val="00D03BE4"/>
    <w:rsid w:val="00D04FAB"/>
    <w:rsid w:val="00D06F2C"/>
    <w:rsid w:val="00D07200"/>
    <w:rsid w:val="00D0741F"/>
    <w:rsid w:val="00D10EF2"/>
    <w:rsid w:val="00D115D6"/>
    <w:rsid w:val="00D11A54"/>
    <w:rsid w:val="00D1397F"/>
    <w:rsid w:val="00D13FA2"/>
    <w:rsid w:val="00D14057"/>
    <w:rsid w:val="00D161E4"/>
    <w:rsid w:val="00D16600"/>
    <w:rsid w:val="00D17A8C"/>
    <w:rsid w:val="00D20E42"/>
    <w:rsid w:val="00D21F0E"/>
    <w:rsid w:val="00D2250D"/>
    <w:rsid w:val="00D2306D"/>
    <w:rsid w:val="00D23342"/>
    <w:rsid w:val="00D23BF5"/>
    <w:rsid w:val="00D23C5F"/>
    <w:rsid w:val="00D26854"/>
    <w:rsid w:val="00D3084E"/>
    <w:rsid w:val="00D308B4"/>
    <w:rsid w:val="00D31B9B"/>
    <w:rsid w:val="00D31EFA"/>
    <w:rsid w:val="00D3239D"/>
    <w:rsid w:val="00D3297D"/>
    <w:rsid w:val="00D33263"/>
    <w:rsid w:val="00D3342D"/>
    <w:rsid w:val="00D36AAC"/>
    <w:rsid w:val="00D40A46"/>
    <w:rsid w:val="00D41D5E"/>
    <w:rsid w:val="00D42595"/>
    <w:rsid w:val="00D428F4"/>
    <w:rsid w:val="00D429DE"/>
    <w:rsid w:val="00D42DB0"/>
    <w:rsid w:val="00D42F12"/>
    <w:rsid w:val="00D43E17"/>
    <w:rsid w:val="00D46400"/>
    <w:rsid w:val="00D4695B"/>
    <w:rsid w:val="00D46C8D"/>
    <w:rsid w:val="00D47658"/>
    <w:rsid w:val="00D47EDF"/>
    <w:rsid w:val="00D528B8"/>
    <w:rsid w:val="00D53617"/>
    <w:rsid w:val="00D544DE"/>
    <w:rsid w:val="00D562D6"/>
    <w:rsid w:val="00D56DF5"/>
    <w:rsid w:val="00D57F6B"/>
    <w:rsid w:val="00D60319"/>
    <w:rsid w:val="00D609EE"/>
    <w:rsid w:val="00D611CE"/>
    <w:rsid w:val="00D612C4"/>
    <w:rsid w:val="00D61971"/>
    <w:rsid w:val="00D61E5A"/>
    <w:rsid w:val="00D6367E"/>
    <w:rsid w:val="00D65644"/>
    <w:rsid w:val="00D65A2D"/>
    <w:rsid w:val="00D66028"/>
    <w:rsid w:val="00D66148"/>
    <w:rsid w:val="00D6643F"/>
    <w:rsid w:val="00D6650A"/>
    <w:rsid w:val="00D67EBD"/>
    <w:rsid w:val="00D713DD"/>
    <w:rsid w:val="00D73572"/>
    <w:rsid w:val="00D74075"/>
    <w:rsid w:val="00D74267"/>
    <w:rsid w:val="00D74441"/>
    <w:rsid w:val="00D74822"/>
    <w:rsid w:val="00D74A56"/>
    <w:rsid w:val="00D74EE0"/>
    <w:rsid w:val="00D7529E"/>
    <w:rsid w:val="00D75FDF"/>
    <w:rsid w:val="00D769EE"/>
    <w:rsid w:val="00D76B4B"/>
    <w:rsid w:val="00D77E91"/>
    <w:rsid w:val="00D77F6E"/>
    <w:rsid w:val="00D8287F"/>
    <w:rsid w:val="00D82DA9"/>
    <w:rsid w:val="00D82E6C"/>
    <w:rsid w:val="00D835A8"/>
    <w:rsid w:val="00D842C7"/>
    <w:rsid w:val="00D84689"/>
    <w:rsid w:val="00D853C1"/>
    <w:rsid w:val="00D85581"/>
    <w:rsid w:val="00D8607B"/>
    <w:rsid w:val="00D8640B"/>
    <w:rsid w:val="00D86AC1"/>
    <w:rsid w:val="00D87307"/>
    <w:rsid w:val="00D87981"/>
    <w:rsid w:val="00D90215"/>
    <w:rsid w:val="00D90743"/>
    <w:rsid w:val="00D90DCD"/>
    <w:rsid w:val="00D90E49"/>
    <w:rsid w:val="00D913D9"/>
    <w:rsid w:val="00D92187"/>
    <w:rsid w:val="00D93AB8"/>
    <w:rsid w:val="00D93BFF"/>
    <w:rsid w:val="00D93C69"/>
    <w:rsid w:val="00D94518"/>
    <w:rsid w:val="00D977E9"/>
    <w:rsid w:val="00D97BB1"/>
    <w:rsid w:val="00DA019D"/>
    <w:rsid w:val="00DA01EA"/>
    <w:rsid w:val="00DA065E"/>
    <w:rsid w:val="00DA3D13"/>
    <w:rsid w:val="00DA41D6"/>
    <w:rsid w:val="00DA4707"/>
    <w:rsid w:val="00DA4EED"/>
    <w:rsid w:val="00DA573F"/>
    <w:rsid w:val="00DA5781"/>
    <w:rsid w:val="00DA73E6"/>
    <w:rsid w:val="00DB0704"/>
    <w:rsid w:val="00DB0AC0"/>
    <w:rsid w:val="00DB1378"/>
    <w:rsid w:val="00DB18A0"/>
    <w:rsid w:val="00DB307F"/>
    <w:rsid w:val="00DB3347"/>
    <w:rsid w:val="00DB3549"/>
    <w:rsid w:val="00DB37B6"/>
    <w:rsid w:val="00DB3935"/>
    <w:rsid w:val="00DB3CC3"/>
    <w:rsid w:val="00DB4EEE"/>
    <w:rsid w:val="00DB589D"/>
    <w:rsid w:val="00DB6CEC"/>
    <w:rsid w:val="00DB7D32"/>
    <w:rsid w:val="00DB7D93"/>
    <w:rsid w:val="00DC01D1"/>
    <w:rsid w:val="00DC1EA1"/>
    <w:rsid w:val="00DC4305"/>
    <w:rsid w:val="00DC49B1"/>
    <w:rsid w:val="00DC4B75"/>
    <w:rsid w:val="00DC5223"/>
    <w:rsid w:val="00DC6C70"/>
    <w:rsid w:val="00DC752D"/>
    <w:rsid w:val="00DC7D57"/>
    <w:rsid w:val="00DC7F09"/>
    <w:rsid w:val="00DD0D2C"/>
    <w:rsid w:val="00DD0D96"/>
    <w:rsid w:val="00DD15F5"/>
    <w:rsid w:val="00DD204A"/>
    <w:rsid w:val="00DD2161"/>
    <w:rsid w:val="00DD21B7"/>
    <w:rsid w:val="00DD243D"/>
    <w:rsid w:val="00DD27E0"/>
    <w:rsid w:val="00DD31D3"/>
    <w:rsid w:val="00DD38B8"/>
    <w:rsid w:val="00DD3B81"/>
    <w:rsid w:val="00DD3F31"/>
    <w:rsid w:val="00DD57B6"/>
    <w:rsid w:val="00DD777B"/>
    <w:rsid w:val="00DD7D68"/>
    <w:rsid w:val="00DD7D88"/>
    <w:rsid w:val="00DE22CF"/>
    <w:rsid w:val="00DE2B75"/>
    <w:rsid w:val="00DE5134"/>
    <w:rsid w:val="00DE5AD9"/>
    <w:rsid w:val="00DE6EFA"/>
    <w:rsid w:val="00DE7C5E"/>
    <w:rsid w:val="00DE7D7B"/>
    <w:rsid w:val="00DF080C"/>
    <w:rsid w:val="00DF0958"/>
    <w:rsid w:val="00DF16E6"/>
    <w:rsid w:val="00DF1F27"/>
    <w:rsid w:val="00DF22D2"/>
    <w:rsid w:val="00DF3672"/>
    <w:rsid w:val="00DF3988"/>
    <w:rsid w:val="00DF45C4"/>
    <w:rsid w:val="00DF5C28"/>
    <w:rsid w:val="00DF6BB9"/>
    <w:rsid w:val="00DF6F7E"/>
    <w:rsid w:val="00DF726E"/>
    <w:rsid w:val="00DF789F"/>
    <w:rsid w:val="00DF7D2C"/>
    <w:rsid w:val="00E02E54"/>
    <w:rsid w:val="00E03AA6"/>
    <w:rsid w:val="00E05518"/>
    <w:rsid w:val="00E06C01"/>
    <w:rsid w:val="00E06E46"/>
    <w:rsid w:val="00E078E5"/>
    <w:rsid w:val="00E07CD3"/>
    <w:rsid w:val="00E1026A"/>
    <w:rsid w:val="00E10647"/>
    <w:rsid w:val="00E108E5"/>
    <w:rsid w:val="00E11D47"/>
    <w:rsid w:val="00E12D63"/>
    <w:rsid w:val="00E1377C"/>
    <w:rsid w:val="00E14A22"/>
    <w:rsid w:val="00E14B07"/>
    <w:rsid w:val="00E15351"/>
    <w:rsid w:val="00E203A6"/>
    <w:rsid w:val="00E216C4"/>
    <w:rsid w:val="00E2207C"/>
    <w:rsid w:val="00E23382"/>
    <w:rsid w:val="00E2345C"/>
    <w:rsid w:val="00E2440D"/>
    <w:rsid w:val="00E24D6F"/>
    <w:rsid w:val="00E25269"/>
    <w:rsid w:val="00E25815"/>
    <w:rsid w:val="00E25B20"/>
    <w:rsid w:val="00E2607F"/>
    <w:rsid w:val="00E260EA"/>
    <w:rsid w:val="00E2733E"/>
    <w:rsid w:val="00E2755B"/>
    <w:rsid w:val="00E277F4"/>
    <w:rsid w:val="00E301EF"/>
    <w:rsid w:val="00E30424"/>
    <w:rsid w:val="00E30897"/>
    <w:rsid w:val="00E30EEA"/>
    <w:rsid w:val="00E30F8D"/>
    <w:rsid w:val="00E321EA"/>
    <w:rsid w:val="00E32781"/>
    <w:rsid w:val="00E3352B"/>
    <w:rsid w:val="00E33720"/>
    <w:rsid w:val="00E34CD0"/>
    <w:rsid w:val="00E34CFA"/>
    <w:rsid w:val="00E36221"/>
    <w:rsid w:val="00E36254"/>
    <w:rsid w:val="00E366ED"/>
    <w:rsid w:val="00E37F4B"/>
    <w:rsid w:val="00E408F0"/>
    <w:rsid w:val="00E409A1"/>
    <w:rsid w:val="00E446CE"/>
    <w:rsid w:val="00E44EA4"/>
    <w:rsid w:val="00E453E1"/>
    <w:rsid w:val="00E45D5C"/>
    <w:rsid w:val="00E52142"/>
    <w:rsid w:val="00E5243B"/>
    <w:rsid w:val="00E55469"/>
    <w:rsid w:val="00E56F97"/>
    <w:rsid w:val="00E6053A"/>
    <w:rsid w:val="00E60550"/>
    <w:rsid w:val="00E6057F"/>
    <w:rsid w:val="00E61AA0"/>
    <w:rsid w:val="00E62410"/>
    <w:rsid w:val="00E6379A"/>
    <w:rsid w:val="00E64553"/>
    <w:rsid w:val="00E64B18"/>
    <w:rsid w:val="00E64F13"/>
    <w:rsid w:val="00E651CB"/>
    <w:rsid w:val="00E665B0"/>
    <w:rsid w:val="00E6689E"/>
    <w:rsid w:val="00E676D7"/>
    <w:rsid w:val="00E710F8"/>
    <w:rsid w:val="00E71317"/>
    <w:rsid w:val="00E715EF"/>
    <w:rsid w:val="00E73C35"/>
    <w:rsid w:val="00E74FF6"/>
    <w:rsid w:val="00E751C7"/>
    <w:rsid w:val="00E7520F"/>
    <w:rsid w:val="00E75485"/>
    <w:rsid w:val="00E7680C"/>
    <w:rsid w:val="00E76AD0"/>
    <w:rsid w:val="00E80E96"/>
    <w:rsid w:val="00E83C2F"/>
    <w:rsid w:val="00E83E14"/>
    <w:rsid w:val="00E8401D"/>
    <w:rsid w:val="00E84289"/>
    <w:rsid w:val="00E84DEA"/>
    <w:rsid w:val="00E865A3"/>
    <w:rsid w:val="00E86600"/>
    <w:rsid w:val="00E87CD3"/>
    <w:rsid w:val="00E90A3E"/>
    <w:rsid w:val="00E92331"/>
    <w:rsid w:val="00E925C4"/>
    <w:rsid w:val="00E9299A"/>
    <w:rsid w:val="00E92A53"/>
    <w:rsid w:val="00E94AC7"/>
    <w:rsid w:val="00E9663F"/>
    <w:rsid w:val="00E9786E"/>
    <w:rsid w:val="00E979FF"/>
    <w:rsid w:val="00EA0C92"/>
    <w:rsid w:val="00EA0CA4"/>
    <w:rsid w:val="00EA15E5"/>
    <w:rsid w:val="00EA1EE0"/>
    <w:rsid w:val="00EA2630"/>
    <w:rsid w:val="00EA2AF1"/>
    <w:rsid w:val="00EA337C"/>
    <w:rsid w:val="00EA368F"/>
    <w:rsid w:val="00EA388A"/>
    <w:rsid w:val="00EA4432"/>
    <w:rsid w:val="00EA513D"/>
    <w:rsid w:val="00EA6DFD"/>
    <w:rsid w:val="00EA7731"/>
    <w:rsid w:val="00EA7D53"/>
    <w:rsid w:val="00EB031E"/>
    <w:rsid w:val="00EB2411"/>
    <w:rsid w:val="00EB438A"/>
    <w:rsid w:val="00EB65B9"/>
    <w:rsid w:val="00EB79F0"/>
    <w:rsid w:val="00EC026E"/>
    <w:rsid w:val="00EC0C1B"/>
    <w:rsid w:val="00EC2690"/>
    <w:rsid w:val="00EC2867"/>
    <w:rsid w:val="00EC408E"/>
    <w:rsid w:val="00EC4AA8"/>
    <w:rsid w:val="00EC5CCC"/>
    <w:rsid w:val="00EC6039"/>
    <w:rsid w:val="00EC6C6E"/>
    <w:rsid w:val="00EC6EAB"/>
    <w:rsid w:val="00EC70D1"/>
    <w:rsid w:val="00EC78A8"/>
    <w:rsid w:val="00ED12DC"/>
    <w:rsid w:val="00ED1854"/>
    <w:rsid w:val="00ED31FB"/>
    <w:rsid w:val="00ED3D94"/>
    <w:rsid w:val="00ED428C"/>
    <w:rsid w:val="00ED49E7"/>
    <w:rsid w:val="00ED5BF1"/>
    <w:rsid w:val="00ED5C64"/>
    <w:rsid w:val="00ED5EA0"/>
    <w:rsid w:val="00ED6EBD"/>
    <w:rsid w:val="00ED79EF"/>
    <w:rsid w:val="00ED7C9E"/>
    <w:rsid w:val="00ED7F50"/>
    <w:rsid w:val="00EE048F"/>
    <w:rsid w:val="00EE0A41"/>
    <w:rsid w:val="00EE0F6F"/>
    <w:rsid w:val="00EE2E59"/>
    <w:rsid w:val="00EE3320"/>
    <w:rsid w:val="00EE510C"/>
    <w:rsid w:val="00EE6715"/>
    <w:rsid w:val="00EE6FE5"/>
    <w:rsid w:val="00EE7ADE"/>
    <w:rsid w:val="00EF000F"/>
    <w:rsid w:val="00EF0425"/>
    <w:rsid w:val="00EF07A5"/>
    <w:rsid w:val="00EF0A63"/>
    <w:rsid w:val="00EF1033"/>
    <w:rsid w:val="00EF1E24"/>
    <w:rsid w:val="00EF2FDE"/>
    <w:rsid w:val="00EF3363"/>
    <w:rsid w:val="00EF393D"/>
    <w:rsid w:val="00EF3CFC"/>
    <w:rsid w:val="00EF40C7"/>
    <w:rsid w:val="00EF4CC3"/>
    <w:rsid w:val="00EF7186"/>
    <w:rsid w:val="00F007A9"/>
    <w:rsid w:val="00F01527"/>
    <w:rsid w:val="00F015B5"/>
    <w:rsid w:val="00F01A93"/>
    <w:rsid w:val="00F01BD0"/>
    <w:rsid w:val="00F01C80"/>
    <w:rsid w:val="00F029EF"/>
    <w:rsid w:val="00F02CBC"/>
    <w:rsid w:val="00F02EBD"/>
    <w:rsid w:val="00F055A0"/>
    <w:rsid w:val="00F06094"/>
    <w:rsid w:val="00F0671E"/>
    <w:rsid w:val="00F06880"/>
    <w:rsid w:val="00F0748D"/>
    <w:rsid w:val="00F07697"/>
    <w:rsid w:val="00F10832"/>
    <w:rsid w:val="00F11865"/>
    <w:rsid w:val="00F11936"/>
    <w:rsid w:val="00F1198F"/>
    <w:rsid w:val="00F12034"/>
    <w:rsid w:val="00F13A85"/>
    <w:rsid w:val="00F14B66"/>
    <w:rsid w:val="00F153FB"/>
    <w:rsid w:val="00F159CE"/>
    <w:rsid w:val="00F15A49"/>
    <w:rsid w:val="00F16027"/>
    <w:rsid w:val="00F16AE6"/>
    <w:rsid w:val="00F16E9B"/>
    <w:rsid w:val="00F170DB"/>
    <w:rsid w:val="00F1717E"/>
    <w:rsid w:val="00F172FF"/>
    <w:rsid w:val="00F17301"/>
    <w:rsid w:val="00F20ACE"/>
    <w:rsid w:val="00F20D75"/>
    <w:rsid w:val="00F20E07"/>
    <w:rsid w:val="00F223C6"/>
    <w:rsid w:val="00F229ED"/>
    <w:rsid w:val="00F2336C"/>
    <w:rsid w:val="00F23935"/>
    <w:rsid w:val="00F23AC6"/>
    <w:rsid w:val="00F24B5F"/>
    <w:rsid w:val="00F25112"/>
    <w:rsid w:val="00F26011"/>
    <w:rsid w:val="00F3003A"/>
    <w:rsid w:val="00F3093B"/>
    <w:rsid w:val="00F30C3E"/>
    <w:rsid w:val="00F31DA7"/>
    <w:rsid w:val="00F32A6D"/>
    <w:rsid w:val="00F32D00"/>
    <w:rsid w:val="00F3348B"/>
    <w:rsid w:val="00F337EC"/>
    <w:rsid w:val="00F33BC5"/>
    <w:rsid w:val="00F33F1C"/>
    <w:rsid w:val="00F346E2"/>
    <w:rsid w:val="00F350D6"/>
    <w:rsid w:val="00F368B8"/>
    <w:rsid w:val="00F36C92"/>
    <w:rsid w:val="00F37475"/>
    <w:rsid w:val="00F40791"/>
    <w:rsid w:val="00F40E77"/>
    <w:rsid w:val="00F4210C"/>
    <w:rsid w:val="00F43F07"/>
    <w:rsid w:val="00F44CFA"/>
    <w:rsid w:val="00F455E8"/>
    <w:rsid w:val="00F46C0E"/>
    <w:rsid w:val="00F47FED"/>
    <w:rsid w:val="00F5032C"/>
    <w:rsid w:val="00F528D9"/>
    <w:rsid w:val="00F52E74"/>
    <w:rsid w:val="00F53D57"/>
    <w:rsid w:val="00F56D1B"/>
    <w:rsid w:val="00F601C0"/>
    <w:rsid w:val="00F60B11"/>
    <w:rsid w:val="00F60DBA"/>
    <w:rsid w:val="00F60FF7"/>
    <w:rsid w:val="00F61744"/>
    <w:rsid w:val="00F62094"/>
    <w:rsid w:val="00F64C49"/>
    <w:rsid w:val="00F64D98"/>
    <w:rsid w:val="00F654E2"/>
    <w:rsid w:val="00F6561B"/>
    <w:rsid w:val="00F66CFE"/>
    <w:rsid w:val="00F716D2"/>
    <w:rsid w:val="00F73470"/>
    <w:rsid w:val="00F759B6"/>
    <w:rsid w:val="00F769B5"/>
    <w:rsid w:val="00F7769F"/>
    <w:rsid w:val="00F81DA9"/>
    <w:rsid w:val="00F83273"/>
    <w:rsid w:val="00F85D27"/>
    <w:rsid w:val="00F85D99"/>
    <w:rsid w:val="00F86004"/>
    <w:rsid w:val="00F86596"/>
    <w:rsid w:val="00F8664D"/>
    <w:rsid w:val="00F8758B"/>
    <w:rsid w:val="00F878BE"/>
    <w:rsid w:val="00F912AD"/>
    <w:rsid w:val="00F9173C"/>
    <w:rsid w:val="00F92722"/>
    <w:rsid w:val="00F931C2"/>
    <w:rsid w:val="00F93508"/>
    <w:rsid w:val="00F93F57"/>
    <w:rsid w:val="00F94031"/>
    <w:rsid w:val="00F9538D"/>
    <w:rsid w:val="00F9604B"/>
    <w:rsid w:val="00F96E74"/>
    <w:rsid w:val="00F97130"/>
    <w:rsid w:val="00F974A7"/>
    <w:rsid w:val="00F97DA3"/>
    <w:rsid w:val="00F97DCA"/>
    <w:rsid w:val="00FA03BE"/>
    <w:rsid w:val="00FA150B"/>
    <w:rsid w:val="00FA3676"/>
    <w:rsid w:val="00FA5128"/>
    <w:rsid w:val="00FA5504"/>
    <w:rsid w:val="00FA5887"/>
    <w:rsid w:val="00FA62D8"/>
    <w:rsid w:val="00FB1C7D"/>
    <w:rsid w:val="00FB5611"/>
    <w:rsid w:val="00FB59EB"/>
    <w:rsid w:val="00FB647F"/>
    <w:rsid w:val="00FB7663"/>
    <w:rsid w:val="00FB77E5"/>
    <w:rsid w:val="00FC042D"/>
    <w:rsid w:val="00FC0888"/>
    <w:rsid w:val="00FC0945"/>
    <w:rsid w:val="00FC0CC2"/>
    <w:rsid w:val="00FC1B40"/>
    <w:rsid w:val="00FC22BF"/>
    <w:rsid w:val="00FC3DAF"/>
    <w:rsid w:val="00FC3FF9"/>
    <w:rsid w:val="00FC4A4E"/>
    <w:rsid w:val="00FC54A1"/>
    <w:rsid w:val="00FC5863"/>
    <w:rsid w:val="00FC7FC4"/>
    <w:rsid w:val="00FD08C3"/>
    <w:rsid w:val="00FD1A72"/>
    <w:rsid w:val="00FD1D83"/>
    <w:rsid w:val="00FD2D92"/>
    <w:rsid w:val="00FD403C"/>
    <w:rsid w:val="00FD411D"/>
    <w:rsid w:val="00FD47DB"/>
    <w:rsid w:val="00FD4C9F"/>
    <w:rsid w:val="00FD5599"/>
    <w:rsid w:val="00FD5D3D"/>
    <w:rsid w:val="00FD5D9A"/>
    <w:rsid w:val="00FD639E"/>
    <w:rsid w:val="00FD69D6"/>
    <w:rsid w:val="00FD6C6E"/>
    <w:rsid w:val="00FD70FF"/>
    <w:rsid w:val="00FD7576"/>
    <w:rsid w:val="00FD7CBF"/>
    <w:rsid w:val="00FD7EDB"/>
    <w:rsid w:val="00FE2861"/>
    <w:rsid w:val="00FE2F11"/>
    <w:rsid w:val="00FE2F87"/>
    <w:rsid w:val="00FE44DC"/>
    <w:rsid w:val="00FE5B37"/>
    <w:rsid w:val="00FE6448"/>
    <w:rsid w:val="00FE678B"/>
    <w:rsid w:val="00FE68BC"/>
    <w:rsid w:val="00FE6931"/>
    <w:rsid w:val="00FE7705"/>
    <w:rsid w:val="00FE78D4"/>
    <w:rsid w:val="00FF09A5"/>
    <w:rsid w:val="00FF40FF"/>
    <w:rsid w:val="00FF5E60"/>
    <w:rsid w:val="00FF6170"/>
    <w:rsid w:val="00FF7965"/>
    <w:rsid w:val="00FF7F8F"/>
    <w:rsid w:val="2B674DB3"/>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hapeDefaults>
    <o:shapedefaults v:ext="edit" spidmax="4099"/>
    <o:shapelayout v:ext="edit">
      <o:idmap v:ext="edit" data="1"/>
    </o:shapelayout>
  </w:shapeDefaults>
  <w:decimalSymbol w:val=","/>
  <w:listSeparator w:val=";"/>
  <w14:docId w14:val="4B3ED5F9"/>
  <w15:chartTrackingRefBased/>
  <w15:docId w15:val="{47DA4437-FDE9-430F-A132-04F9AE4BA2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nhideWhenUsed/>
    <w:qFormat/>
    <w:rsid w:val="005217EE"/>
  </w:style>
  <w:style w:type="paragraph" w:styleId="Ttulo1">
    <w:name w:val="heading 1"/>
    <w:basedOn w:val="Normal"/>
    <w:next w:val="Normal"/>
    <w:link w:val="Ttulo1Car"/>
    <w:uiPriority w:val="9"/>
    <w:qFormat/>
    <w:rsid w:val="003302F7"/>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Ttulo2">
    <w:name w:val="heading 2"/>
    <w:basedOn w:val="Normal"/>
    <w:next w:val="Normal"/>
    <w:link w:val="Ttulo2Car"/>
    <w:autoRedefine/>
    <w:qFormat/>
    <w:rsid w:val="00D611CE"/>
    <w:pPr>
      <w:keepNext/>
      <w:widowControl w:val="0"/>
      <w:numPr>
        <w:numId w:val="1"/>
      </w:numPr>
      <w:pBdr>
        <w:top w:val="single" w:sz="4" w:space="1" w:color="8DB3E2"/>
        <w:left w:val="single" w:sz="4" w:space="4" w:color="8DB3E2"/>
        <w:bottom w:val="single" w:sz="4" w:space="1" w:color="8DB3E2"/>
        <w:right w:val="single" w:sz="4" w:space="4" w:color="8DB3E2"/>
      </w:pBdr>
      <w:shd w:val="clear" w:color="auto" w:fill="C6D9F1"/>
      <w:autoSpaceDN w:val="0"/>
      <w:adjustRightInd w:val="0"/>
      <w:spacing w:after="120" w:line="360" w:lineRule="auto"/>
      <w:jc w:val="both"/>
      <w:outlineLvl w:val="1"/>
    </w:pPr>
    <w:rPr>
      <w:rFonts w:ascii="Book Antiqua" w:eastAsia="Times New Roman" w:hAnsi="Book Antiqua" w:cs="Times New Roman"/>
      <w:b/>
      <w:bCs/>
      <w:iCs/>
      <w:sz w:val="24"/>
      <w:lang w:val="es-ES_tradnl"/>
    </w:rPr>
  </w:style>
  <w:style w:type="paragraph" w:styleId="Ttulo3">
    <w:name w:val="heading 3"/>
    <w:basedOn w:val="Normal"/>
    <w:next w:val="Normal"/>
    <w:link w:val="Ttulo3Car"/>
    <w:uiPriority w:val="9"/>
    <w:unhideWhenUsed/>
    <w:qFormat/>
    <w:rsid w:val="0056286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ar"/>
    <w:uiPriority w:val="9"/>
    <w:unhideWhenUsed/>
    <w:qFormat/>
    <w:rsid w:val="008235E7"/>
    <w:pPr>
      <w:keepNext/>
      <w:keepLines/>
      <w:numPr>
        <w:numId w:val="7"/>
      </w:numPr>
      <w:spacing w:before="40" w:after="0"/>
      <w:outlineLvl w:val="3"/>
    </w:pPr>
    <w:rPr>
      <w:rFonts w:asciiTheme="majorHAnsi" w:eastAsiaTheme="majorEastAsia" w:hAnsiTheme="majorHAnsi" w:cstheme="majorBidi"/>
      <w:i/>
      <w:iCs/>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sinformato">
    <w:name w:val="Plain Text"/>
    <w:basedOn w:val="Normal"/>
    <w:link w:val="TextosinformatoCar"/>
    <w:uiPriority w:val="99"/>
    <w:unhideWhenUsed/>
    <w:rsid w:val="001C4482"/>
    <w:pPr>
      <w:spacing w:after="0" w:line="240" w:lineRule="auto"/>
    </w:pPr>
    <w:rPr>
      <w:rFonts w:ascii="Book Antiqua" w:eastAsia="Calibri" w:hAnsi="Book Antiqua" w:cs="Times New Roman"/>
      <w:color w:val="000000"/>
      <w:sz w:val="24"/>
      <w:szCs w:val="24"/>
      <w:lang w:val="x-none" w:eastAsia="x-none"/>
    </w:rPr>
  </w:style>
  <w:style w:type="character" w:customStyle="1" w:styleId="TextosinformatoCar">
    <w:name w:val="Texto sin formato Car"/>
    <w:basedOn w:val="Fuentedeprrafopredeter"/>
    <w:link w:val="Textosinformato"/>
    <w:uiPriority w:val="99"/>
    <w:rsid w:val="001C4482"/>
    <w:rPr>
      <w:rFonts w:ascii="Book Antiqua" w:eastAsia="Calibri" w:hAnsi="Book Antiqua" w:cs="Times New Roman"/>
      <w:color w:val="000000"/>
      <w:sz w:val="24"/>
      <w:szCs w:val="24"/>
      <w:lang w:val="x-none" w:eastAsia="x-none"/>
    </w:rPr>
  </w:style>
  <w:style w:type="character" w:customStyle="1" w:styleId="Ttulo2Car">
    <w:name w:val="Título 2 Car"/>
    <w:basedOn w:val="Fuentedeprrafopredeter"/>
    <w:link w:val="Ttulo2"/>
    <w:rsid w:val="00D611CE"/>
    <w:rPr>
      <w:rFonts w:ascii="Book Antiqua" w:eastAsia="Times New Roman" w:hAnsi="Book Antiqua" w:cs="Times New Roman"/>
      <w:b/>
      <w:bCs/>
      <w:iCs/>
      <w:sz w:val="24"/>
      <w:shd w:val="clear" w:color="auto" w:fill="C6D9F1"/>
      <w:lang w:val="es-ES_tradnl"/>
    </w:rPr>
  </w:style>
  <w:style w:type="paragraph" w:customStyle="1" w:styleId="a">
    <w:basedOn w:val="Normal"/>
    <w:next w:val="Normal"/>
    <w:unhideWhenUsed/>
    <w:qFormat/>
    <w:rsid w:val="005217EE"/>
    <w:pPr>
      <w:widowControl w:val="0"/>
      <w:autoSpaceDE w:val="0"/>
      <w:autoSpaceDN w:val="0"/>
      <w:adjustRightInd w:val="0"/>
      <w:spacing w:after="0" w:line="240" w:lineRule="auto"/>
    </w:pPr>
    <w:rPr>
      <w:rFonts w:ascii="Arial" w:eastAsia="Times New Roman" w:hAnsi="Arial" w:cs="Arial"/>
      <w:b/>
      <w:bCs/>
      <w:sz w:val="20"/>
      <w:szCs w:val="20"/>
      <w:lang w:val="es-ES" w:eastAsia="es-ES"/>
    </w:rPr>
  </w:style>
  <w:style w:type="paragraph" w:styleId="Descripcin">
    <w:name w:val="caption"/>
    <w:aliases w:val="Epígrafe"/>
    <w:basedOn w:val="Normal"/>
    <w:next w:val="Normal"/>
    <w:uiPriority w:val="35"/>
    <w:unhideWhenUsed/>
    <w:qFormat/>
    <w:rsid w:val="00EB65B9"/>
    <w:pPr>
      <w:spacing w:after="200" w:line="240" w:lineRule="auto"/>
    </w:pPr>
    <w:rPr>
      <w:i/>
      <w:iCs/>
      <w:color w:val="1F497D" w:themeColor="text2"/>
      <w:sz w:val="18"/>
      <w:szCs w:val="18"/>
    </w:rPr>
  </w:style>
  <w:style w:type="paragraph" w:styleId="Sinespaciado">
    <w:name w:val="No Spacing"/>
    <w:uiPriority w:val="1"/>
    <w:qFormat/>
    <w:rsid w:val="0056286E"/>
    <w:pPr>
      <w:spacing w:after="0" w:line="240" w:lineRule="auto"/>
    </w:pPr>
  </w:style>
  <w:style w:type="character" w:customStyle="1" w:styleId="Ttulo3Car">
    <w:name w:val="Título 3 Car"/>
    <w:basedOn w:val="Fuentedeprrafopredeter"/>
    <w:link w:val="Ttulo3"/>
    <w:uiPriority w:val="9"/>
    <w:rsid w:val="0056286E"/>
    <w:rPr>
      <w:rFonts w:asciiTheme="majorHAnsi" w:eastAsiaTheme="majorEastAsia" w:hAnsiTheme="majorHAnsi" w:cstheme="majorBidi"/>
      <w:color w:val="243F60" w:themeColor="accent1" w:themeShade="7F"/>
      <w:sz w:val="24"/>
      <w:szCs w:val="24"/>
    </w:rPr>
  </w:style>
  <w:style w:type="paragraph" w:styleId="Prrafodelista">
    <w:name w:val="List Paragraph"/>
    <w:aliases w:val="Bullet 1,Use Case List Paragraph,Lista vistosa - Énfasis 11,Párrafo de lista Car Car Car,3,Informe"/>
    <w:basedOn w:val="Normal"/>
    <w:uiPriority w:val="34"/>
    <w:qFormat/>
    <w:rsid w:val="00DD15F5"/>
    <w:pPr>
      <w:ind w:left="720"/>
      <w:contextualSpacing/>
    </w:pPr>
  </w:style>
  <w:style w:type="character" w:customStyle="1" w:styleId="Ttulo1Car">
    <w:name w:val="Título 1 Car"/>
    <w:basedOn w:val="Fuentedeprrafopredeter"/>
    <w:link w:val="Ttulo1"/>
    <w:uiPriority w:val="9"/>
    <w:rsid w:val="003302F7"/>
    <w:rPr>
      <w:rFonts w:asciiTheme="majorHAnsi" w:eastAsiaTheme="majorEastAsia" w:hAnsiTheme="majorHAnsi" w:cstheme="majorBidi"/>
      <w:color w:val="365F91" w:themeColor="accent1" w:themeShade="BF"/>
      <w:sz w:val="32"/>
      <w:szCs w:val="32"/>
    </w:rPr>
  </w:style>
  <w:style w:type="paragraph" w:styleId="Encabezado">
    <w:name w:val="header"/>
    <w:aliases w:val="encabezado"/>
    <w:basedOn w:val="Normal"/>
    <w:link w:val="EncabezadoCar"/>
    <w:uiPriority w:val="99"/>
    <w:unhideWhenUsed/>
    <w:rsid w:val="00667189"/>
    <w:pPr>
      <w:tabs>
        <w:tab w:val="center" w:pos="4419"/>
        <w:tab w:val="right" w:pos="8838"/>
      </w:tabs>
      <w:spacing w:after="0" w:line="240" w:lineRule="auto"/>
    </w:pPr>
  </w:style>
  <w:style w:type="character" w:customStyle="1" w:styleId="EncabezadoCar">
    <w:name w:val="Encabezado Car"/>
    <w:aliases w:val="encabezado Car"/>
    <w:basedOn w:val="Fuentedeprrafopredeter"/>
    <w:link w:val="Encabezado"/>
    <w:uiPriority w:val="99"/>
    <w:rsid w:val="00667189"/>
  </w:style>
  <w:style w:type="paragraph" w:styleId="Piedepgina">
    <w:name w:val="footer"/>
    <w:basedOn w:val="Normal"/>
    <w:link w:val="PiedepginaCar"/>
    <w:uiPriority w:val="99"/>
    <w:unhideWhenUsed/>
    <w:rsid w:val="0066718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67189"/>
  </w:style>
  <w:style w:type="paragraph" w:styleId="Textoindependiente">
    <w:name w:val="Body Text"/>
    <w:basedOn w:val="Normal"/>
    <w:link w:val="TextoindependienteCar"/>
    <w:rsid w:val="000A190D"/>
    <w:pPr>
      <w:spacing w:after="220" w:line="220" w:lineRule="atLeast"/>
      <w:ind w:left="835" w:right="-360"/>
    </w:pPr>
    <w:rPr>
      <w:rFonts w:ascii="Times New Roman" w:eastAsia="Times New Roman" w:hAnsi="Times New Roman" w:cs="Times New Roman"/>
      <w:sz w:val="20"/>
      <w:szCs w:val="20"/>
      <w:lang w:val="es-ES"/>
    </w:rPr>
  </w:style>
  <w:style w:type="character" w:customStyle="1" w:styleId="TextoindependienteCar">
    <w:name w:val="Texto independiente Car"/>
    <w:basedOn w:val="Fuentedeprrafopredeter"/>
    <w:link w:val="Textoindependiente"/>
    <w:rsid w:val="000A190D"/>
    <w:rPr>
      <w:rFonts w:ascii="Times New Roman" w:eastAsia="Times New Roman" w:hAnsi="Times New Roman" w:cs="Times New Roman"/>
      <w:sz w:val="20"/>
      <w:szCs w:val="20"/>
      <w:lang w:val="es-ES"/>
    </w:rPr>
  </w:style>
  <w:style w:type="character" w:styleId="Refdecomentario">
    <w:name w:val="annotation reference"/>
    <w:basedOn w:val="Fuentedeprrafopredeter"/>
    <w:unhideWhenUsed/>
    <w:rsid w:val="00E30897"/>
    <w:rPr>
      <w:sz w:val="16"/>
      <w:szCs w:val="16"/>
    </w:rPr>
  </w:style>
  <w:style w:type="paragraph" w:styleId="Textocomentario">
    <w:name w:val="annotation text"/>
    <w:basedOn w:val="Normal"/>
    <w:link w:val="TextocomentarioCar"/>
    <w:unhideWhenUsed/>
    <w:qFormat/>
    <w:rsid w:val="00E30897"/>
    <w:pPr>
      <w:spacing w:line="240" w:lineRule="auto"/>
    </w:pPr>
    <w:rPr>
      <w:sz w:val="20"/>
      <w:szCs w:val="20"/>
    </w:rPr>
  </w:style>
  <w:style w:type="character" w:customStyle="1" w:styleId="TextocomentarioCar">
    <w:name w:val="Texto comentario Car"/>
    <w:basedOn w:val="Fuentedeprrafopredeter"/>
    <w:link w:val="Textocomentario"/>
    <w:qFormat/>
    <w:rsid w:val="00E30897"/>
    <w:rPr>
      <w:sz w:val="20"/>
      <w:szCs w:val="20"/>
    </w:rPr>
  </w:style>
  <w:style w:type="paragraph" w:styleId="Asuntodelcomentario">
    <w:name w:val="annotation subject"/>
    <w:basedOn w:val="Textocomentario"/>
    <w:next w:val="Textocomentario"/>
    <w:link w:val="AsuntodelcomentarioCar"/>
    <w:uiPriority w:val="99"/>
    <w:semiHidden/>
    <w:unhideWhenUsed/>
    <w:rsid w:val="00E30897"/>
    <w:rPr>
      <w:b/>
      <w:bCs/>
    </w:rPr>
  </w:style>
  <w:style w:type="character" w:customStyle="1" w:styleId="AsuntodelcomentarioCar">
    <w:name w:val="Asunto del comentario Car"/>
    <w:basedOn w:val="TextocomentarioCar"/>
    <w:link w:val="Asuntodelcomentario"/>
    <w:uiPriority w:val="99"/>
    <w:semiHidden/>
    <w:rsid w:val="00E30897"/>
    <w:rPr>
      <w:b/>
      <w:bCs/>
      <w:sz w:val="20"/>
      <w:szCs w:val="20"/>
    </w:rPr>
  </w:style>
  <w:style w:type="paragraph" w:styleId="Textodeglobo">
    <w:name w:val="Balloon Text"/>
    <w:basedOn w:val="Normal"/>
    <w:link w:val="TextodegloboCar"/>
    <w:uiPriority w:val="99"/>
    <w:semiHidden/>
    <w:unhideWhenUsed/>
    <w:rsid w:val="00E3089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30897"/>
    <w:rPr>
      <w:rFonts w:ascii="Segoe UI" w:hAnsi="Segoe UI" w:cs="Segoe UI"/>
      <w:sz w:val="18"/>
      <w:szCs w:val="18"/>
    </w:rPr>
  </w:style>
  <w:style w:type="paragraph" w:styleId="NormalWeb">
    <w:name w:val="Normal (Web)"/>
    <w:basedOn w:val="Normal"/>
    <w:link w:val="NormalWebCar"/>
    <w:uiPriority w:val="99"/>
    <w:qFormat/>
    <w:rsid w:val="00C0777E"/>
    <w:pPr>
      <w:suppressAutoHyphens/>
      <w:spacing w:before="280" w:after="280" w:line="240" w:lineRule="auto"/>
    </w:pPr>
    <w:rPr>
      <w:rFonts w:ascii="Times New Roman" w:eastAsia="Times New Roman" w:hAnsi="Times New Roman" w:cs="Times New Roman"/>
      <w:sz w:val="24"/>
      <w:szCs w:val="24"/>
      <w:lang w:val="es-ES" w:eastAsia="ar-SA"/>
    </w:rPr>
  </w:style>
  <w:style w:type="character" w:customStyle="1" w:styleId="NormalWebCar">
    <w:name w:val="Normal (Web) Car"/>
    <w:link w:val="NormalWeb"/>
    <w:uiPriority w:val="99"/>
    <w:rsid w:val="00C0777E"/>
    <w:rPr>
      <w:rFonts w:ascii="Times New Roman" w:eastAsia="Times New Roman" w:hAnsi="Times New Roman" w:cs="Times New Roman"/>
      <w:sz w:val="24"/>
      <w:szCs w:val="24"/>
      <w:lang w:val="es-ES" w:eastAsia="ar-SA"/>
    </w:rPr>
  </w:style>
  <w:style w:type="character" w:customStyle="1" w:styleId="Ttulo4Car">
    <w:name w:val="Título 4 Car"/>
    <w:basedOn w:val="Fuentedeprrafopredeter"/>
    <w:link w:val="Ttulo4"/>
    <w:uiPriority w:val="9"/>
    <w:rsid w:val="008235E7"/>
    <w:rPr>
      <w:rFonts w:asciiTheme="majorHAnsi" w:eastAsiaTheme="majorEastAsia" w:hAnsiTheme="majorHAnsi" w:cstheme="majorBidi"/>
      <w:i/>
      <w:iCs/>
      <w:color w:val="365F91" w:themeColor="accent1" w:themeShade="BF"/>
    </w:rPr>
  </w:style>
  <w:style w:type="paragraph" w:styleId="Revisin">
    <w:name w:val="Revision"/>
    <w:hidden/>
    <w:uiPriority w:val="99"/>
    <w:semiHidden/>
    <w:rsid w:val="00935E26"/>
    <w:pPr>
      <w:spacing w:after="0" w:line="240" w:lineRule="auto"/>
    </w:pPr>
  </w:style>
  <w:style w:type="table" w:styleId="Tablaconcuadrcula">
    <w:name w:val="Table Grid"/>
    <w:basedOn w:val="Tablanormal"/>
    <w:uiPriority w:val="39"/>
    <w:qFormat/>
    <w:rsid w:val="007865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basedOn w:val="Fuentedeprrafopredeter"/>
    <w:link w:val="Textonotapie"/>
    <w:uiPriority w:val="99"/>
    <w:locked/>
    <w:rsid w:val="00C56F52"/>
    <w:rPr>
      <w:lang w:eastAsia="ar-SA"/>
    </w:r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
    <w:basedOn w:val="Normal"/>
    <w:link w:val="TextonotapieCar"/>
    <w:uiPriority w:val="99"/>
    <w:unhideWhenUsed/>
    <w:qFormat/>
    <w:rsid w:val="00C56F52"/>
    <w:pPr>
      <w:spacing w:after="0" w:line="240" w:lineRule="auto"/>
      <w:ind w:left="283" w:hanging="283"/>
    </w:pPr>
    <w:rPr>
      <w:lang w:eastAsia="ar-SA"/>
    </w:rPr>
  </w:style>
  <w:style w:type="character" w:customStyle="1" w:styleId="TextonotapieCar1">
    <w:name w:val="Texto nota pie Car1"/>
    <w:basedOn w:val="Fuentedeprrafopredeter"/>
    <w:uiPriority w:val="99"/>
    <w:semiHidden/>
    <w:rsid w:val="00C56F52"/>
    <w:rPr>
      <w:sz w:val="20"/>
      <w:szCs w:val="20"/>
    </w:rPr>
  </w:style>
  <w:style w:type="character" w:styleId="Refdenotaalpie">
    <w:name w:val="footnote reference"/>
    <w:aliases w:val="ƒ89,^ƒ89,Footnotes refss,Texto de nota al pie,Appel note de bas de page,Referencia nota al pie,Footnote number,referencia nota al pie,BVI fnr,f,Ref,de nota al pie,FC"/>
    <w:basedOn w:val="Fuentedeprrafopredeter"/>
    <w:unhideWhenUsed/>
    <w:rsid w:val="00C56F52"/>
    <w:rPr>
      <w:vertAlign w:val="superscript"/>
    </w:rPr>
  </w:style>
  <w:style w:type="paragraph" w:styleId="Textoindependiente2">
    <w:name w:val="Body Text 2"/>
    <w:basedOn w:val="Normal"/>
    <w:link w:val="Textoindependiente2Car"/>
    <w:uiPriority w:val="99"/>
    <w:unhideWhenUsed/>
    <w:rsid w:val="00C0189A"/>
    <w:pPr>
      <w:spacing w:after="120" w:line="480" w:lineRule="auto"/>
    </w:pPr>
  </w:style>
  <w:style w:type="character" w:customStyle="1" w:styleId="Textoindependiente2Car">
    <w:name w:val="Texto independiente 2 Car"/>
    <w:basedOn w:val="Fuentedeprrafopredeter"/>
    <w:link w:val="Textoindependiente2"/>
    <w:uiPriority w:val="99"/>
    <w:rsid w:val="00C0189A"/>
  </w:style>
  <w:style w:type="character" w:styleId="Hipervnculo">
    <w:name w:val="Hyperlink"/>
    <w:uiPriority w:val="99"/>
    <w:rsid w:val="00C0189A"/>
    <w:rPr>
      <w:rFonts w:cs="Times New Roman"/>
      <w:color w:val="0000FF"/>
      <w:u w:val="single"/>
    </w:rPr>
  </w:style>
  <w:style w:type="character" w:customStyle="1" w:styleId="normaltextrun">
    <w:name w:val="normaltextrun"/>
    <w:basedOn w:val="Fuentedeprrafopredeter"/>
    <w:rsid w:val="00C0189A"/>
  </w:style>
  <w:style w:type="paragraph" w:customStyle="1" w:styleId="paragraph">
    <w:name w:val="paragraph"/>
    <w:basedOn w:val="Normal"/>
    <w:rsid w:val="00C0189A"/>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customStyle="1" w:styleId="eop">
    <w:name w:val="eop"/>
    <w:basedOn w:val="Fuentedeprrafopredeter"/>
    <w:rsid w:val="00C0189A"/>
  </w:style>
  <w:style w:type="paragraph" w:customStyle="1" w:styleId="xmsonormal">
    <w:name w:val="x_msonormal"/>
    <w:basedOn w:val="Normal"/>
    <w:rsid w:val="007B1EBD"/>
    <w:pPr>
      <w:spacing w:after="0" w:line="240" w:lineRule="auto"/>
    </w:pPr>
    <w:rPr>
      <w:rFonts w:ascii="Calibri" w:hAnsi="Calibri" w:cs="Calibri"/>
      <w:lang w:eastAsia="es-CR"/>
    </w:rPr>
  </w:style>
  <w:style w:type="paragraph" w:customStyle="1" w:styleId="xmsolistparagraph">
    <w:name w:val="x_msolistparagraph"/>
    <w:basedOn w:val="Normal"/>
    <w:rsid w:val="007B1EBD"/>
    <w:pPr>
      <w:spacing w:after="0" w:line="240" w:lineRule="auto"/>
    </w:pPr>
    <w:rPr>
      <w:rFonts w:ascii="Calibri" w:hAnsi="Calibri" w:cs="Calibri"/>
      <w:lang w:eastAsia="es-CR"/>
    </w:rPr>
  </w:style>
  <w:style w:type="paragraph" w:customStyle="1" w:styleId="Prrafodelista1">
    <w:name w:val="Párrafo de lista1"/>
    <w:basedOn w:val="Normal"/>
    <w:qFormat/>
    <w:rsid w:val="003E5207"/>
    <w:pPr>
      <w:spacing w:after="200" w:line="276" w:lineRule="auto"/>
      <w:ind w:left="720"/>
      <w:contextualSpacing/>
    </w:pPr>
    <w:rPr>
      <w:rFonts w:ascii="Calibri" w:eastAsia="Times New Roman" w:hAnsi="Calibri" w:cs="Times New Roman"/>
      <w:lang w:val="es-ES"/>
    </w:rPr>
  </w:style>
  <w:style w:type="character" w:customStyle="1" w:styleId="ts-image">
    <w:name w:val="ts-image"/>
    <w:basedOn w:val="Fuentedeprrafopredeter"/>
    <w:rsid w:val="005675A9"/>
  </w:style>
  <w:style w:type="paragraph" w:customStyle="1" w:styleId="Default">
    <w:name w:val="Default"/>
    <w:rsid w:val="00F31DA7"/>
    <w:pPr>
      <w:autoSpaceDE w:val="0"/>
      <w:autoSpaceDN w:val="0"/>
      <w:adjustRightInd w:val="0"/>
      <w:spacing w:after="0" w:line="240" w:lineRule="auto"/>
    </w:pPr>
    <w:rPr>
      <w:rFonts w:ascii="Book Antiqua" w:eastAsia="Times New Roman" w:hAnsi="Book Antiqua" w:cs="Book Antiqua"/>
      <w:color w:val="000000"/>
      <w:sz w:val="24"/>
      <w:szCs w:val="24"/>
      <w:lang w:eastAsia="es-CR"/>
    </w:rPr>
  </w:style>
  <w:style w:type="character" w:customStyle="1" w:styleId="gestionCar">
    <w:name w:val="gestion Car"/>
    <w:link w:val="gestion"/>
    <w:locked/>
    <w:rsid w:val="00AF0A46"/>
    <w:rPr>
      <w:color w:val="000099"/>
      <w:sz w:val="26"/>
      <w:szCs w:val="26"/>
      <w:lang w:val="es-ES_tradnl" w:eastAsia="ar-SA"/>
    </w:rPr>
  </w:style>
  <w:style w:type="paragraph" w:customStyle="1" w:styleId="gestion">
    <w:name w:val="gestion"/>
    <w:basedOn w:val="Normal"/>
    <w:link w:val="gestionCar"/>
    <w:qFormat/>
    <w:rsid w:val="00AF0A46"/>
    <w:pPr>
      <w:suppressAutoHyphens/>
      <w:spacing w:before="120" w:after="120" w:line="240" w:lineRule="auto"/>
      <w:ind w:left="851" w:right="851" w:firstLine="709"/>
      <w:jc w:val="both"/>
    </w:pPr>
    <w:rPr>
      <w:color w:val="000099"/>
      <w:sz w:val="26"/>
      <w:szCs w:val="26"/>
      <w:lang w:val="es-ES_tradnl" w:eastAsia="ar-SA"/>
    </w:rPr>
  </w:style>
  <w:style w:type="numbering" w:styleId="111111">
    <w:name w:val="Outline List 2"/>
    <w:aliases w:val="1.1 / 1.1.1 / 1.1.1.1"/>
    <w:basedOn w:val="Sinlista"/>
    <w:uiPriority w:val="99"/>
    <w:unhideWhenUsed/>
    <w:rsid w:val="004A3EF4"/>
    <w:pPr>
      <w:numPr>
        <w:numId w:val="21"/>
      </w:numPr>
    </w:pPr>
  </w:style>
  <w:style w:type="character" w:styleId="Hipervnculovisitado">
    <w:name w:val="FollowedHyperlink"/>
    <w:basedOn w:val="Fuentedeprrafopredeter"/>
    <w:uiPriority w:val="99"/>
    <w:semiHidden/>
    <w:unhideWhenUsed/>
    <w:rsid w:val="006036E6"/>
    <w:rPr>
      <w:color w:val="954F72"/>
      <w:u w:val="single"/>
    </w:rPr>
  </w:style>
  <w:style w:type="paragraph" w:customStyle="1" w:styleId="msonormal0">
    <w:name w:val="msonormal"/>
    <w:basedOn w:val="Normal"/>
    <w:rsid w:val="006036E6"/>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font5">
    <w:name w:val="font5"/>
    <w:basedOn w:val="Normal"/>
    <w:rsid w:val="006036E6"/>
    <w:pPr>
      <w:spacing w:before="100" w:beforeAutospacing="1" w:after="100" w:afterAutospacing="1" w:line="240" w:lineRule="auto"/>
    </w:pPr>
    <w:rPr>
      <w:rFonts w:ascii="Tahoma" w:eastAsia="Times New Roman" w:hAnsi="Tahoma" w:cs="Tahoma"/>
      <w:color w:val="000000"/>
      <w:sz w:val="18"/>
      <w:szCs w:val="18"/>
      <w:lang w:eastAsia="es-CR"/>
    </w:rPr>
  </w:style>
  <w:style w:type="paragraph" w:customStyle="1" w:styleId="font6">
    <w:name w:val="font6"/>
    <w:basedOn w:val="Normal"/>
    <w:rsid w:val="006036E6"/>
    <w:pPr>
      <w:spacing w:before="100" w:beforeAutospacing="1" w:after="100" w:afterAutospacing="1" w:line="240" w:lineRule="auto"/>
    </w:pPr>
    <w:rPr>
      <w:rFonts w:ascii="Tahoma" w:eastAsia="Times New Roman" w:hAnsi="Tahoma" w:cs="Tahoma"/>
      <w:b/>
      <w:bCs/>
      <w:color w:val="000000"/>
      <w:sz w:val="18"/>
      <w:szCs w:val="18"/>
      <w:lang w:eastAsia="es-CR"/>
    </w:rPr>
  </w:style>
  <w:style w:type="paragraph" w:customStyle="1" w:styleId="font7">
    <w:name w:val="font7"/>
    <w:basedOn w:val="Normal"/>
    <w:rsid w:val="006036E6"/>
    <w:pPr>
      <w:spacing w:before="100" w:beforeAutospacing="1" w:after="100" w:afterAutospacing="1" w:line="240" w:lineRule="auto"/>
    </w:pPr>
    <w:rPr>
      <w:rFonts w:ascii="Cambria" w:eastAsia="Times New Roman" w:hAnsi="Cambria" w:cs="Times New Roman"/>
      <w:color w:val="FF0000"/>
      <w:sz w:val="18"/>
      <w:szCs w:val="18"/>
      <w:lang w:eastAsia="es-CR"/>
    </w:rPr>
  </w:style>
  <w:style w:type="paragraph" w:customStyle="1" w:styleId="xl67">
    <w:name w:val="xl67"/>
    <w:basedOn w:val="Normal"/>
    <w:rsid w:val="006036E6"/>
    <w:pPr>
      <w:spacing w:before="100" w:beforeAutospacing="1" w:after="100" w:afterAutospacing="1" w:line="240" w:lineRule="auto"/>
    </w:pPr>
    <w:rPr>
      <w:rFonts w:ascii="Cambria" w:eastAsia="Times New Roman" w:hAnsi="Cambria" w:cs="Times New Roman"/>
      <w:sz w:val="24"/>
      <w:szCs w:val="24"/>
      <w:lang w:eastAsia="es-CR"/>
    </w:rPr>
  </w:style>
  <w:style w:type="paragraph" w:customStyle="1" w:styleId="xl68">
    <w:name w:val="xl68"/>
    <w:basedOn w:val="Normal"/>
    <w:rsid w:val="006036E6"/>
    <w:pPr>
      <w:shd w:val="clear" w:color="000000" w:fill="1F4E78"/>
      <w:spacing w:before="100" w:beforeAutospacing="1" w:after="100" w:afterAutospacing="1" w:line="240" w:lineRule="auto"/>
    </w:pPr>
    <w:rPr>
      <w:rFonts w:ascii="Cambria" w:eastAsia="Times New Roman" w:hAnsi="Cambria" w:cs="Times New Roman"/>
      <w:color w:val="FFFFFF"/>
      <w:sz w:val="24"/>
      <w:szCs w:val="24"/>
      <w:lang w:eastAsia="es-CR"/>
    </w:rPr>
  </w:style>
  <w:style w:type="paragraph" w:customStyle="1" w:styleId="xl69">
    <w:name w:val="xl69"/>
    <w:basedOn w:val="Normal"/>
    <w:rsid w:val="006036E6"/>
    <w:pPr>
      <w:pBdr>
        <w:top w:val="single" w:sz="4" w:space="0" w:color="000000"/>
        <w:left w:val="single" w:sz="4" w:space="0" w:color="000000"/>
        <w:bottom w:val="single" w:sz="4" w:space="0" w:color="000000"/>
        <w:righ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sz w:val="16"/>
      <w:szCs w:val="16"/>
      <w:lang w:eastAsia="es-CR"/>
    </w:rPr>
  </w:style>
  <w:style w:type="paragraph" w:customStyle="1" w:styleId="xl70">
    <w:name w:val="xl70"/>
    <w:basedOn w:val="Normal"/>
    <w:rsid w:val="006036E6"/>
    <w:pPr>
      <w:pBdr>
        <w:top w:val="single" w:sz="4" w:space="0" w:color="000000"/>
        <w:left w:val="single" w:sz="4" w:space="0" w:color="000000"/>
        <w:right w:val="single" w:sz="4" w:space="0" w:color="000000"/>
      </w:pBdr>
      <w:shd w:val="clear" w:color="9999FF" w:fill="C0C0C0"/>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71">
    <w:name w:val="xl71"/>
    <w:basedOn w:val="Normal"/>
    <w:rsid w:val="006036E6"/>
    <w:pPr>
      <w:pBdr>
        <w:top w:val="single" w:sz="4" w:space="0" w:color="000000"/>
        <w:left w:val="single" w:sz="8" w:space="0" w:color="000000"/>
        <w:right w:val="single" w:sz="4" w:space="0" w:color="000000"/>
      </w:pBdr>
      <w:shd w:val="clear" w:color="9999FF" w:fill="C0C0C0"/>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72">
    <w:name w:val="xl72"/>
    <w:basedOn w:val="Normal"/>
    <w:rsid w:val="006036E6"/>
    <w:pPr>
      <w:pBdr>
        <w:top w:val="single" w:sz="4" w:space="0" w:color="000000"/>
        <w:left w:val="single" w:sz="4" w:space="0" w:color="000000"/>
        <w:right w:val="single" w:sz="8" w:space="0" w:color="000000"/>
      </w:pBdr>
      <w:shd w:val="clear" w:color="9999FF" w:fill="C0C0C0"/>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73">
    <w:name w:val="xl73"/>
    <w:basedOn w:val="Normal"/>
    <w:rsid w:val="006036E6"/>
    <w:pPr>
      <w:spacing w:before="100" w:beforeAutospacing="1" w:after="100" w:afterAutospacing="1" w:line="240" w:lineRule="auto"/>
    </w:pPr>
    <w:rPr>
      <w:rFonts w:ascii="Cambria" w:eastAsia="Times New Roman" w:hAnsi="Cambria" w:cs="Times New Roman"/>
      <w:sz w:val="20"/>
      <w:szCs w:val="20"/>
      <w:lang w:eastAsia="es-CR"/>
    </w:rPr>
  </w:style>
  <w:style w:type="paragraph" w:customStyle="1" w:styleId="xl74">
    <w:name w:val="xl74"/>
    <w:basedOn w:val="Normal"/>
    <w:rsid w:val="006036E6"/>
    <w:pPr>
      <w:pBdr>
        <w:top w:val="single" w:sz="4" w:space="0" w:color="000000"/>
        <w:left w:val="single" w:sz="4" w:space="0" w:color="000000"/>
        <w:bottom w:val="single" w:sz="4" w:space="0" w:color="000000"/>
        <w:right w:val="single" w:sz="4" w:space="0" w:color="000000"/>
      </w:pBdr>
      <w:shd w:val="clear" w:color="FF9900"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75">
    <w:name w:val="xl75"/>
    <w:basedOn w:val="Normal"/>
    <w:rsid w:val="006036E6"/>
    <w:pPr>
      <w:pBdr>
        <w:top w:val="single" w:sz="4" w:space="0" w:color="000000"/>
        <w:left w:val="single" w:sz="4" w:space="0" w:color="000000"/>
        <w:bottom w:val="single" w:sz="4" w:space="0" w:color="000000"/>
        <w:right w:val="single" w:sz="4" w:space="0" w:color="000000"/>
      </w:pBdr>
      <w:shd w:val="clear" w:color="FF9900"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76">
    <w:name w:val="xl76"/>
    <w:basedOn w:val="Normal"/>
    <w:rsid w:val="006036E6"/>
    <w:pPr>
      <w:pBdr>
        <w:top w:val="single" w:sz="4" w:space="0" w:color="000000"/>
        <w:left w:val="single" w:sz="4" w:space="0" w:color="000000"/>
        <w:bottom w:val="single" w:sz="4" w:space="0" w:color="000000"/>
        <w:right w:val="single" w:sz="4" w:space="0" w:color="000000"/>
      </w:pBdr>
      <w:shd w:val="clear" w:color="FF9900"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77">
    <w:name w:val="xl77"/>
    <w:basedOn w:val="Normal"/>
    <w:rsid w:val="006036E6"/>
    <w:pPr>
      <w:pBdr>
        <w:top w:val="single" w:sz="4" w:space="0" w:color="000000"/>
        <w:left w:val="single" w:sz="4" w:space="0" w:color="000000"/>
        <w:bottom w:val="single" w:sz="4" w:space="0" w:color="000000"/>
        <w:right w:val="single" w:sz="4" w:space="0" w:color="000000"/>
      </w:pBdr>
      <w:shd w:val="clear" w:color="FF9900"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78">
    <w:name w:val="xl78"/>
    <w:basedOn w:val="Normal"/>
    <w:rsid w:val="006036E6"/>
    <w:pPr>
      <w:pBdr>
        <w:top w:val="single" w:sz="4" w:space="0" w:color="000000"/>
        <w:left w:val="single" w:sz="4" w:space="0" w:color="000000"/>
        <w:bottom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79">
    <w:name w:val="xl79"/>
    <w:basedOn w:val="Normal"/>
    <w:rsid w:val="006036E6"/>
    <w:pPr>
      <w:pBdr>
        <w:top w:val="single" w:sz="4" w:space="0" w:color="000000"/>
        <w:left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80">
    <w:name w:val="xl80"/>
    <w:basedOn w:val="Normal"/>
    <w:rsid w:val="006036E6"/>
    <w:pPr>
      <w:pBdr>
        <w:top w:val="single" w:sz="4" w:space="0" w:color="000000"/>
        <w:left w:val="single" w:sz="4" w:space="0" w:color="000000"/>
        <w:righ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81">
    <w:name w:val="xl81"/>
    <w:basedOn w:val="Normal"/>
    <w:rsid w:val="006036E6"/>
    <w:pPr>
      <w:pBdr>
        <w:top w:val="single" w:sz="4" w:space="0" w:color="000000"/>
        <w:left w:val="single" w:sz="4" w:space="0" w:color="000000"/>
        <w:bottom w:val="single" w:sz="4" w:space="0" w:color="000000"/>
        <w:righ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82">
    <w:name w:val="xl82"/>
    <w:basedOn w:val="Normal"/>
    <w:rsid w:val="006036E6"/>
    <w:pPr>
      <w:pBdr>
        <w:top w:val="single" w:sz="4" w:space="0" w:color="000000"/>
        <w:left w:val="single" w:sz="4" w:space="0" w:color="000000"/>
        <w:bottom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83">
    <w:name w:val="xl83"/>
    <w:basedOn w:val="Normal"/>
    <w:rsid w:val="006036E6"/>
    <w:pPr>
      <w:pBdr>
        <w:top w:val="single" w:sz="4" w:space="0" w:color="auto"/>
        <w:left w:val="single" w:sz="4" w:space="0" w:color="auto"/>
        <w:bottom w:val="single" w:sz="4" w:space="0" w:color="auto"/>
        <w:right w:val="single" w:sz="4" w:space="0" w:color="auto"/>
      </w:pBdr>
      <w:shd w:val="clear" w:color="33CCCC" w:fill="C6E0B4"/>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84">
    <w:name w:val="xl84"/>
    <w:basedOn w:val="Normal"/>
    <w:rsid w:val="006036E6"/>
    <w:pPr>
      <w:pBdr>
        <w:top w:val="single" w:sz="4" w:space="0" w:color="000000"/>
        <w:left w:val="single" w:sz="4" w:space="0" w:color="000000"/>
        <w:bottom w:val="single" w:sz="4" w:space="0" w:color="000000"/>
        <w:right w:val="single" w:sz="4" w:space="0" w:color="000000"/>
      </w:pBdr>
      <w:shd w:val="clear" w:color="9999FF" w:fill="DDEBF7"/>
      <w:spacing w:before="100" w:beforeAutospacing="1" w:after="100" w:afterAutospacing="1" w:line="240" w:lineRule="auto"/>
      <w:jc w:val="right"/>
      <w:textAlignment w:val="center"/>
    </w:pPr>
    <w:rPr>
      <w:rFonts w:ascii="Cambria" w:eastAsia="Times New Roman" w:hAnsi="Cambria" w:cs="Times New Roman"/>
      <w:i/>
      <w:iCs/>
      <w:sz w:val="20"/>
      <w:szCs w:val="20"/>
      <w:lang w:eastAsia="es-CR"/>
    </w:rPr>
  </w:style>
  <w:style w:type="paragraph" w:customStyle="1" w:styleId="xl85">
    <w:name w:val="xl85"/>
    <w:basedOn w:val="Normal"/>
    <w:rsid w:val="006036E6"/>
    <w:pPr>
      <w:pBdr>
        <w:top w:val="single" w:sz="4" w:space="0" w:color="000000"/>
        <w:left w:val="single" w:sz="4" w:space="0" w:color="000000"/>
        <w:bottom w:val="single" w:sz="4" w:space="0" w:color="000000"/>
        <w:right w:val="single" w:sz="4" w:space="0" w:color="000000"/>
      </w:pBdr>
      <w:shd w:val="clear" w:color="9999FF" w:fill="DDEBF7"/>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86">
    <w:name w:val="xl86"/>
    <w:basedOn w:val="Normal"/>
    <w:rsid w:val="006036E6"/>
    <w:pPr>
      <w:pBdr>
        <w:top w:val="single" w:sz="4" w:space="0" w:color="000000"/>
        <w:left w:val="single" w:sz="4" w:space="0" w:color="000000"/>
        <w:bottom w:val="single" w:sz="4" w:space="0" w:color="000000"/>
        <w:right w:val="single" w:sz="4" w:space="0" w:color="000000"/>
      </w:pBdr>
      <w:shd w:val="clear" w:color="9999FF" w:fill="DDEBF7"/>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87">
    <w:name w:val="xl87"/>
    <w:basedOn w:val="Normal"/>
    <w:rsid w:val="006036E6"/>
    <w:pPr>
      <w:pBdr>
        <w:top w:val="single" w:sz="4" w:space="0" w:color="000000"/>
        <w:left w:val="single" w:sz="4" w:space="0" w:color="000000"/>
        <w:bottom w:val="single" w:sz="4" w:space="0" w:color="000000"/>
        <w:right w:val="single" w:sz="4" w:space="0" w:color="000000"/>
      </w:pBdr>
      <w:shd w:val="clear" w:color="9999FF" w:fill="DDEBF7"/>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88">
    <w:name w:val="xl88"/>
    <w:basedOn w:val="Normal"/>
    <w:rsid w:val="006036E6"/>
    <w:pPr>
      <w:pBdr>
        <w:top w:val="single" w:sz="4" w:space="0" w:color="000000"/>
        <w:left w:val="single" w:sz="4" w:space="0" w:color="000000"/>
        <w:bottom w:val="single" w:sz="4" w:space="0" w:color="000000"/>
      </w:pBdr>
      <w:shd w:val="clear" w:color="9999FF" w:fill="DDEBF7"/>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89">
    <w:name w:val="xl89"/>
    <w:basedOn w:val="Normal"/>
    <w:rsid w:val="006036E6"/>
    <w:pPr>
      <w:pBdr>
        <w:top w:val="single" w:sz="4" w:space="0" w:color="000000"/>
        <w:left w:val="single" w:sz="4" w:space="0" w:color="000000"/>
        <w:bottom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90">
    <w:name w:val="xl90"/>
    <w:basedOn w:val="Normal"/>
    <w:rsid w:val="006036E6"/>
    <w:pPr>
      <w:pBdr>
        <w:top w:val="single" w:sz="4" w:space="0" w:color="000000"/>
        <w:left w:val="single" w:sz="4" w:space="0" w:color="000000"/>
        <w:bottom w:val="single" w:sz="4" w:space="0" w:color="000000"/>
        <w:righ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91">
    <w:name w:val="xl91"/>
    <w:basedOn w:val="Normal"/>
    <w:rsid w:val="006036E6"/>
    <w:pPr>
      <w:pBdr>
        <w:top w:val="single" w:sz="4" w:space="0" w:color="000000"/>
        <w:left w:val="single" w:sz="4" w:space="0" w:color="000000"/>
        <w:bottom w:val="single" w:sz="4" w:space="0" w:color="000000"/>
        <w:right w:val="single" w:sz="4" w:space="0" w:color="000000"/>
      </w:pBdr>
      <w:shd w:val="clear" w:color="9999FF" w:fill="DDEBF7"/>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92">
    <w:name w:val="xl92"/>
    <w:basedOn w:val="Normal"/>
    <w:rsid w:val="006036E6"/>
    <w:pPr>
      <w:pBdr>
        <w:top w:val="single" w:sz="4" w:space="0" w:color="000000"/>
        <w:left w:val="single" w:sz="4" w:space="0" w:color="000000"/>
        <w:bottom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93">
    <w:name w:val="xl93"/>
    <w:basedOn w:val="Normal"/>
    <w:rsid w:val="006036E6"/>
    <w:pPr>
      <w:pBdr>
        <w:top w:val="single" w:sz="4" w:space="0" w:color="auto"/>
        <w:left w:val="single" w:sz="4" w:space="0" w:color="auto"/>
        <w:bottom w:val="single" w:sz="4" w:space="0" w:color="auto"/>
        <w:right w:val="single" w:sz="4" w:space="0" w:color="auto"/>
      </w:pBdr>
      <w:shd w:val="clear" w:color="33CCCC" w:fill="C6E0B4"/>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94">
    <w:name w:val="xl94"/>
    <w:basedOn w:val="Normal"/>
    <w:rsid w:val="006036E6"/>
    <w:pPr>
      <w:pBdr>
        <w:top w:val="single" w:sz="4" w:space="0" w:color="000000"/>
        <w:left w:val="single" w:sz="4" w:space="0" w:color="000000"/>
        <w:bottom w:val="single" w:sz="4" w:space="0" w:color="000000"/>
        <w:right w:val="single" w:sz="4" w:space="0" w:color="000000"/>
      </w:pBdr>
      <w:shd w:val="clear" w:color="FF9900"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95">
    <w:name w:val="xl95"/>
    <w:basedOn w:val="Normal"/>
    <w:rsid w:val="006036E6"/>
    <w:pPr>
      <w:pBdr>
        <w:top w:val="single" w:sz="4" w:space="0" w:color="000000"/>
        <w:left w:val="single" w:sz="4" w:space="0" w:color="000000"/>
        <w:bottom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96">
    <w:name w:val="xl96"/>
    <w:basedOn w:val="Normal"/>
    <w:rsid w:val="006036E6"/>
    <w:pPr>
      <w:pBdr>
        <w:top w:val="single" w:sz="4" w:space="0" w:color="000000"/>
        <w:left w:val="single" w:sz="4" w:space="0" w:color="000000"/>
        <w:bottom w:val="single" w:sz="4" w:space="0" w:color="000000"/>
        <w:righ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97">
    <w:name w:val="xl97"/>
    <w:basedOn w:val="Normal"/>
    <w:rsid w:val="006036E6"/>
    <w:pPr>
      <w:pBdr>
        <w:top w:val="single" w:sz="4" w:space="0" w:color="000000"/>
        <w:left w:val="single" w:sz="4" w:space="0" w:color="000000"/>
        <w:bottom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color w:val="000000"/>
      <w:sz w:val="20"/>
      <w:szCs w:val="20"/>
      <w:lang w:eastAsia="es-CR"/>
    </w:rPr>
  </w:style>
  <w:style w:type="paragraph" w:customStyle="1" w:styleId="xl98">
    <w:name w:val="xl98"/>
    <w:basedOn w:val="Normal"/>
    <w:rsid w:val="006036E6"/>
    <w:pPr>
      <w:pBdr>
        <w:top w:val="single" w:sz="4" w:space="0" w:color="auto"/>
        <w:left w:val="single" w:sz="4" w:space="0" w:color="auto"/>
        <w:bottom w:val="single" w:sz="4" w:space="0" w:color="auto"/>
        <w:right w:val="single" w:sz="4" w:space="0" w:color="auto"/>
      </w:pBdr>
      <w:shd w:val="clear" w:color="33CCCC" w:fill="C6E0B4"/>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99">
    <w:name w:val="xl99"/>
    <w:basedOn w:val="Normal"/>
    <w:rsid w:val="006036E6"/>
    <w:pPr>
      <w:pBdr>
        <w:top w:val="single" w:sz="4" w:space="0" w:color="000000"/>
        <w:left w:val="single" w:sz="4" w:space="0" w:color="000000"/>
        <w:bottom w:val="single" w:sz="4" w:space="0" w:color="000000"/>
        <w:right w:val="single" w:sz="4" w:space="0" w:color="000000"/>
      </w:pBdr>
      <w:shd w:val="clear" w:color="33CCCC"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00">
    <w:name w:val="xl100"/>
    <w:basedOn w:val="Normal"/>
    <w:rsid w:val="006036E6"/>
    <w:pPr>
      <w:pBdr>
        <w:top w:val="single" w:sz="4" w:space="0" w:color="000000"/>
        <w:left w:val="single" w:sz="4" w:space="0" w:color="000000"/>
        <w:bottom w:val="single" w:sz="4" w:space="0" w:color="000000"/>
        <w:righ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01">
    <w:name w:val="xl101"/>
    <w:basedOn w:val="Normal"/>
    <w:rsid w:val="006036E6"/>
    <w:pPr>
      <w:pBdr>
        <w:top w:val="single" w:sz="4" w:space="0" w:color="000000"/>
        <w:left w:val="single" w:sz="4" w:space="0" w:color="000000"/>
        <w:bottom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02">
    <w:name w:val="xl102"/>
    <w:basedOn w:val="Normal"/>
    <w:rsid w:val="006036E6"/>
    <w:pPr>
      <w:pBdr>
        <w:top w:val="single" w:sz="4" w:space="0" w:color="000000"/>
        <w:left w:val="single" w:sz="4" w:space="0" w:color="000000"/>
        <w:bottom w:val="single" w:sz="4" w:space="0" w:color="000000"/>
        <w:righ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03">
    <w:name w:val="xl103"/>
    <w:basedOn w:val="Normal"/>
    <w:rsid w:val="006036E6"/>
    <w:pPr>
      <w:pBdr>
        <w:top w:val="single" w:sz="4" w:space="0" w:color="auto"/>
        <w:left w:val="single" w:sz="4" w:space="0" w:color="auto"/>
        <w:bottom w:val="single" w:sz="4" w:space="0" w:color="auto"/>
        <w:right w:val="single" w:sz="4" w:space="0" w:color="auto"/>
      </w:pBdr>
      <w:shd w:val="clear" w:color="33CCCC"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104">
    <w:name w:val="xl104"/>
    <w:basedOn w:val="Normal"/>
    <w:rsid w:val="006036E6"/>
    <w:pPr>
      <w:pBdr>
        <w:top w:val="single" w:sz="4" w:space="0" w:color="000000"/>
        <w:bottom w:val="single" w:sz="4" w:space="0" w:color="000000"/>
        <w:right w:val="single" w:sz="4" w:space="0" w:color="000000"/>
      </w:pBdr>
      <w:shd w:val="clear" w:color="33CCCC"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05">
    <w:name w:val="xl105"/>
    <w:basedOn w:val="Normal"/>
    <w:rsid w:val="006036E6"/>
    <w:pPr>
      <w:pBdr>
        <w:top w:val="single" w:sz="4" w:space="0" w:color="000000"/>
        <w:left w:val="single" w:sz="4" w:space="0" w:color="000000"/>
        <w:bottom w:val="single" w:sz="4" w:space="0" w:color="000000"/>
        <w:right w:val="single" w:sz="4" w:space="0" w:color="000000"/>
      </w:pBdr>
      <w:shd w:val="clear" w:color="FF99CC" w:fill="161616"/>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06">
    <w:name w:val="xl106"/>
    <w:basedOn w:val="Normal"/>
    <w:rsid w:val="006036E6"/>
    <w:pPr>
      <w:pBdr>
        <w:top w:val="single" w:sz="4" w:space="0" w:color="000000"/>
        <w:left w:val="single" w:sz="4" w:space="0" w:color="000000"/>
        <w:bottom w:val="single" w:sz="4" w:space="0" w:color="000000"/>
        <w:right w:val="single" w:sz="4" w:space="0" w:color="000000"/>
      </w:pBdr>
      <w:shd w:val="clear" w:color="FF99CC" w:fill="161616"/>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07">
    <w:name w:val="xl107"/>
    <w:basedOn w:val="Normal"/>
    <w:rsid w:val="006036E6"/>
    <w:pPr>
      <w:pBdr>
        <w:top w:val="single" w:sz="4" w:space="0" w:color="000000"/>
        <w:left w:val="single" w:sz="4" w:space="0" w:color="000000"/>
        <w:bottom w:val="single" w:sz="4" w:space="0" w:color="000000"/>
        <w:right w:val="single" w:sz="4" w:space="0" w:color="000000"/>
      </w:pBdr>
      <w:shd w:val="clear" w:color="FFFFCC" w:fill="161616"/>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08">
    <w:name w:val="xl108"/>
    <w:basedOn w:val="Normal"/>
    <w:rsid w:val="006036E6"/>
    <w:pPr>
      <w:pBdr>
        <w:top w:val="single" w:sz="4" w:space="0" w:color="000000"/>
        <w:left w:val="single" w:sz="4" w:space="0" w:color="000000"/>
        <w:bottom w:val="single" w:sz="4" w:space="0" w:color="000000"/>
        <w:right w:val="single" w:sz="4" w:space="0" w:color="000000"/>
      </w:pBdr>
      <w:shd w:val="clear" w:color="FFFFCC" w:fill="161616"/>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09">
    <w:name w:val="xl109"/>
    <w:basedOn w:val="Normal"/>
    <w:rsid w:val="006036E6"/>
    <w:pPr>
      <w:pBdr>
        <w:top w:val="single" w:sz="4" w:space="0" w:color="000000"/>
        <w:left w:val="single" w:sz="4" w:space="0" w:color="000000"/>
        <w:bottom w:val="single" w:sz="4" w:space="0" w:color="000000"/>
      </w:pBdr>
      <w:shd w:val="clear" w:color="FFFFCC" w:fill="161616"/>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10">
    <w:name w:val="xl110"/>
    <w:basedOn w:val="Normal"/>
    <w:rsid w:val="006036E6"/>
    <w:pPr>
      <w:pBdr>
        <w:top w:val="single" w:sz="4" w:space="0" w:color="auto"/>
        <w:left w:val="single" w:sz="4" w:space="0" w:color="auto"/>
        <w:bottom w:val="single" w:sz="4" w:space="0" w:color="auto"/>
        <w:right w:val="single" w:sz="4" w:space="0" w:color="auto"/>
      </w:pBdr>
      <w:shd w:val="clear" w:color="33CCCC" w:fill="161616"/>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11">
    <w:name w:val="xl111"/>
    <w:basedOn w:val="Normal"/>
    <w:rsid w:val="006036E6"/>
    <w:pPr>
      <w:pBdr>
        <w:top w:val="single" w:sz="4" w:space="0" w:color="auto"/>
        <w:left w:val="single" w:sz="4" w:space="0" w:color="auto"/>
        <w:bottom w:val="single" w:sz="4" w:space="0" w:color="auto"/>
        <w:right w:val="single" w:sz="4" w:space="0" w:color="auto"/>
      </w:pBdr>
      <w:shd w:val="clear" w:color="33CCCC" w:fill="161616"/>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12">
    <w:name w:val="xl112"/>
    <w:basedOn w:val="Normal"/>
    <w:rsid w:val="006036E6"/>
    <w:pPr>
      <w:pBdr>
        <w:top w:val="single" w:sz="4" w:space="0" w:color="000000"/>
        <w:left w:val="single" w:sz="4" w:space="0" w:color="000000"/>
        <w:bottom w:val="single" w:sz="4" w:space="0" w:color="000000"/>
        <w:righ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13">
    <w:name w:val="xl113"/>
    <w:basedOn w:val="Normal"/>
    <w:rsid w:val="006036E6"/>
    <w:pPr>
      <w:pBdr>
        <w:top w:val="single" w:sz="4" w:space="0" w:color="000000"/>
        <w:left w:val="single" w:sz="4" w:space="0" w:color="000000"/>
        <w:bottom w:val="single" w:sz="4" w:space="0" w:color="000000"/>
        <w:right w:val="single" w:sz="4" w:space="0" w:color="000000"/>
      </w:pBdr>
      <w:shd w:val="clear" w:color="CCCCFF" w:fill="FFFFFF"/>
      <w:spacing w:before="100" w:beforeAutospacing="1" w:after="100" w:afterAutospacing="1" w:line="240" w:lineRule="auto"/>
      <w:textAlignment w:val="center"/>
    </w:pPr>
    <w:rPr>
      <w:rFonts w:ascii="Cambria" w:eastAsia="Times New Roman" w:hAnsi="Cambria" w:cs="Times New Roman"/>
      <w:color w:val="000000"/>
      <w:sz w:val="20"/>
      <w:szCs w:val="20"/>
      <w:lang w:eastAsia="es-CR"/>
    </w:rPr>
  </w:style>
  <w:style w:type="paragraph" w:customStyle="1" w:styleId="xl114">
    <w:name w:val="xl114"/>
    <w:basedOn w:val="Normal"/>
    <w:rsid w:val="006036E6"/>
    <w:pPr>
      <w:pBdr>
        <w:top w:val="single" w:sz="4" w:space="0" w:color="000000"/>
        <w:left w:val="single" w:sz="4" w:space="0" w:color="000000"/>
        <w:bottom w:val="single" w:sz="4" w:space="0" w:color="000000"/>
        <w:right w:val="single" w:sz="4" w:space="0" w:color="000000"/>
      </w:pBdr>
      <w:shd w:val="clear" w:color="CCCCFF"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15">
    <w:name w:val="xl115"/>
    <w:basedOn w:val="Normal"/>
    <w:rsid w:val="006036E6"/>
    <w:pPr>
      <w:pBdr>
        <w:top w:val="single" w:sz="4" w:space="0" w:color="000000"/>
        <w:left w:val="single" w:sz="4" w:space="0" w:color="000000"/>
        <w:bottom w:val="single" w:sz="4" w:space="0" w:color="000000"/>
        <w:right w:val="single" w:sz="4" w:space="0" w:color="000000"/>
      </w:pBdr>
      <w:shd w:val="clear" w:color="CCCCFF"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16">
    <w:name w:val="xl116"/>
    <w:basedOn w:val="Normal"/>
    <w:rsid w:val="006036E6"/>
    <w:pPr>
      <w:pBdr>
        <w:top w:val="single" w:sz="4" w:space="0" w:color="000000"/>
        <w:left w:val="single" w:sz="4" w:space="0" w:color="000000"/>
        <w:bottom w:val="single" w:sz="4" w:space="0" w:color="000000"/>
        <w:right w:val="single" w:sz="4" w:space="0" w:color="000000"/>
      </w:pBdr>
      <w:shd w:val="clear" w:color="CCCCFF" w:fill="FFD966"/>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17">
    <w:name w:val="xl117"/>
    <w:basedOn w:val="Normal"/>
    <w:rsid w:val="006036E6"/>
    <w:pPr>
      <w:pBdr>
        <w:top w:val="single" w:sz="4" w:space="0" w:color="000000"/>
        <w:left w:val="single" w:sz="4" w:space="0" w:color="000000"/>
        <w:bottom w:val="single" w:sz="4" w:space="0" w:color="000000"/>
        <w:right w:val="single" w:sz="4" w:space="0" w:color="000000"/>
      </w:pBdr>
      <w:shd w:val="clear" w:color="CCCCFF"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18">
    <w:name w:val="xl118"/>
    <w:basedOn w:val="Normal"/>
    <w:rsid w:val="006036E6"/>
    <w:pPr>
      <w:pBdr>
        <w:top w:val="single" w:sz="4" w:space="0" w:color="auto"/>
        <w:left w:val="single" w:sz="4" w:space="0" w:color="auto"/>
        <w:bottom w:val="single" w:sz="4" w:space="0" w:color="auto"/>
        <w:right w:val="single" w:sz="4" w:space="0" w:color="auto"/>
      </w:pBdr>
      <w:shd w:val="clear" w:color="CCCCFF"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19">
    <w:name w:val="xl119"/>
    <w:basedOn w:val="Normal"/>
    <w:rsid w:val="006036E6"/>
    <w:pPr>
      <w:pBdr>
        <w:top w:val="single" w:sz="4" w:space="0" w:color="auto"/>
        <w:left w:val="single" w:sz="4" w:space="0" w:color="auto"/>
        <w:bottom w:val="single" w:sz="4" w:space="0" w:color="auto"/>
        <w:right w:val="single" w:sz="4" w:space="0" w:color="auto"/>
      </w:pBdr>
      <w:shd w:val="clear" w:color="CCCCFF"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20">
    <w:name w:val="xl120"/>
    <w:basedOn w:val="Normal"/>
    <w:rsid w:val="006036E6"/>
    <w:pPr>
      <w:pBdr>
        <w:top w:val="single" w:sz="4" w:space="0" w:color="auto"/>
        <w:left w:val="single" w:sz="4" w:space="0" w:color="auto"/>
        <w:bottom w:val="single" w:sz="4" w:space="0" w:color="auto"/>
        <w:right w:val="single" w:sz="4" w:space="0" w:color="auto"/>
      </w:pBdr>
      <w:shd w:val="clear" w:color="CCCCFF"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21">
    <w:name w:val="xl121"/>
    <w:basedOn w:val="Normal"/>
    <w:rsid w:val="006036E6"/>
    <w:pPr>
      <w:pBdr>
        <w:top w:val="single" w:sz="4" w:space="0" w:color="auto"/>
        <w:left w:val="single" w:sz="4" w:space="0" w:color="auto"/>
        <w:bottom w:val="single" w:sz="4" w:space="0" w:color="auto"/>
        <w:right w:val="single" w:sz="4" w:space="0" w:color="auto"/>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22">
    <w:name w:val="xl122"/>
    <w:basedOn w:val="Normal"/>
    <w:rsid w:val="006036E6"/>
    <w:pPr>
      <w:pBdr>
        <w:top w:val="single" w:sz="4" w:space="0" w:color="auto"/>
        <w:left w:val="single" w:sz="4" w:space="0" w:color="auto"/>
        <w:bottom w:val="single" w:sz="4" w:space="0" w:color="auto"/>
        <w:right w:val="single" w:sz="4" w:space="0" w:color="auto"/>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23">
    <w:name w:val="xl123"/>
    <w:basedOn w:val="Normal"/>
    <w:rsid w:val="006036E6"/>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line="240" w:lineRule="auto"/>
      <w:jc w:val="center"/>
      <w:textAlignment w:val="center"/>
    </w:pPr>
    <w:rPr>
      <w:rFonts w:ascii="Cambria" w:eastAsia="Times New Roman" w:hAnsi="Cambria" w:cs="Times New Roman"/>
      <w:color w:val="000000"/>
      <w:sz w:val="20"/>
      <w:szCs w:val="20"/>
      <w:lang w:eastAsia="es-CR"/>
    </w:rPr>
  </w:style>
  <w:style w:type="paragraph" w:customStyle="1" w:styleId="xl124">
    <w:name w:val="xl124"/>
    <w:basedOn w:val="Normal"/>
    <w:rsid w:val="006036E6"/>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25">
    <w:name w:val="xl125"/>
    <w:basedOn w:val="Normal"/>
    <w:rsid w:val="006036E6"/>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line="240" w:lineRule="auto"/>
      <w:jc w:val="center"/>
      <w:textAlignment w:val="center"/>
    </w:pPr>
    <w:rPr>
      <w:rFonts w:ascii="Cambria" w:eastAsia="Times New Roman" w:hAnsi="Cambria" w:cs="Times New Roman"/>
      <w:color w:val="000000"/>
      <w:sz w:val="20"/>
      <w:szCs w:val="20"/>
      <w:lang w:eastAsia="es-CR"/>
    </w:rPr>
  </w:style>
  <w:style w:type="paragraph" w:customStyle="1" w:styleId="xl126">
    <w:name w:val="xl126"/>
    <w:basedOn w:val="Normal"/>
    <w:rsid w:val="006036E6"/>
    <w:pPr>
      <w:pBdr>
        <w:top w:val="single" w:sz="4" w:space="0" w:color="000000"/>
        <w:left w:val="single" w:sz="4" w:space="0" w:color="000000"/>
        <w:bottom w:val="single" w:sz="4" w:space="0" w:color="000000"/>
        <w:right w:val="single" w:sz="4" w:space="0" w:color="000000"/>
      </w:pBdr>
      <w:shd w:val="clear" w:color="33CCCC" w:fill="FFFFFF"/>
      <w:spacing w:before="100" w:beforeAutospacing="1" w:after="100" w:afterAutospacing="1" w:line="240" w:lineRule="auto"/>
      <w:textAlignment w:val="center"/>
    </w:pPr>
    <w:rPr>
      <w:rFonts w:ascii="Cambria" w:eastAsia="Times New Roman" w:hAnsi="Cambria" w:cs="Times New Roman"/>
      <w:sz w:val="18"/>
      <w:szCs w:val="18"/>
      <w:lang w:eastAsia="es-CR"/>
    </w:rPr>
  </w:style>
  <w:style w:type="paragraph" w:customStyle="1" w:styleId="xl127">
    <w:name w:val="xl127"/>
    <w:basedOn w:val="Normal"/>
    <w:rsid w:val="006036E6"/>
    <w:pPr>
      <w:spacing w:before="100" w:beforeAutospacing="1" w:after="100" w:afterAutospacing="1" w:line="240" w:lineRule="auto"/>
    </w:pPr>
    <w:rPr>
      <w:rFonts w:ascii="Cambria" w:eastAsia="Times New Roman" w:hAnsi="Cambria" w:cs="Times New Roman"/>
      <w:sz w:val="20"/>
      <w:szCs w:val="20"/>
      <w:lang w:eastAsia="es-CR"/>
    </w:rPr>
  </w:style>
  <w:style w:type="paragraph" w:customStyle="1" w:styleId="xl128">
    <w:name w:val="xl128"/>
    <w:basedOn w:val="Normal"/>
    <w:rsid w:val="006036E6"/>
    <w:pPr>
      <w:pBdr>
        <w:top w:val="single" w:sz="4" w:space="0" w:color="000000"/>
        <w:left w:val="single" w:sz="4" w:space="0" w:color="000000"/>
        <w:bottom w:val="single" w:sz="4" w:space="0" w:color="000000"/>
        <w:right w:val="single" w:sz="4" w:space="0" w:color="000000"/>
      </w:pBdr>
      <w:shd w:val="clear" w:color="CCCCFF" w:fill="FFFFFF"/>
      <w:spacing w:before="100" w:beforeAutospacing="1" w:after="100" w:afterAutospacing="1" w:line="240" w:lineRule="auto"/>
      <w:textAlignment w:val="center"/>
    </w:pPr>
    <w:rPr>
      <w:rFonts w:ascii="Cambria" w:eastAsia="Times New Roman" w:hAnsi="Cambria" w:cs="Times New Roman"/>
      <w:sz w:val="18"/>
      <w:szCs w:val="18"/>
      <w:lang w:eastAsia="es-CR"/>
    </w:rPr>
  </w:style>
  <w:style w:type="paragraph" w:customStyle="1" w:styleId="xl129">
    <w:name w:val="xl129"/>
    <w:basedOn w:val="Normal"/>
    <w:rsid w:val="006036E6"/>
    <w:pPr>
      <w:pBdr>
        <w:top w:val="single" w:sz="4" w:space="0" w:color="auto"/>
        <w:left w:val="single" w:sz="4" w:space="0" w:color="auto"/>
        <w:bottom w:val="single" w:sz="4" w:space="0" w:color="auto"/>
        <w:right w:val="single" w:sz="4" w:space="0" w:color="auto"/>
      </w:pBdr>
      <w:shd w:val="clear" w:color="CCCCFF" w:fill="FFFFFF"/>
      <w:spacing w:before="100" w:beforeAutospacing="1" w:after="100" w:afterAutospacing="1" w:line="240" w:lineRule="auto"/>
      <w:textAlignment w:val="center"/>
    </w:pPr>
    <w:rPr>
      <w:rFonts w:ascii="Cambria" w:eastAsia="Times New Roman" w:hAnsi="Cambria" w:cs="Times New Roman"/>
      <w:sz w:val="18"/>
      <w:szCs w:val="18"/>
      <w:lang w:eastAsia="es-CR"/>
    </w:rPr>
  </w:style>
  <w:style w:type="paragraph" w:customStyle="1" w:styleId="xl130">
    <w:name w:val="xl130"/>
    <w:basedOn w:val="Normal"/>
    <w:rsid w:val="006036E6"/>
    <w:pPr>
      <w:pBdr>
        <w:top w:val="single" w:sz="4" w:space="0" w:color="000000"/>
        <w:left w:val="single" w:sz="4" w:space="0" w:color="000000"/>
        <w:bottom w:val="single" w:sz="4" w:space="0" w:color="000000"/>
        <w:right w:val="single" w:sz="4" w:space="0" w:color="000000"/>
      </w:pBdr>
      <w:shd w:val="clear" w:color="FF9900" w:fill="FFFFFF"/>
      <w:spacing w:before="100" w:beforeAutospacing="1" w:after="100" w:afterAutospacing="1" w:line="240" w:lineRule="auto"/>
      <w:textAlignment w:val="center"/>
    </w:pPr>
    <w:rPr>
      <w:rFonts w:ascii="Cambria" w:eastAsia="Times New Roman" w:hAnsi="Cambria" w:cs="Times New Roman"/>
      <w:sz w:val="18"/>
      <w:szCs w:val="18"/>
      <w:lang w:eastAsia="es-CR"/>
    </w:rPr>
  </w:style>
  <w:style w:type="paragraph" w:customStyle="1" w:styleId="xl131">
    <w:name w:val="xl131"/>
    <w:basedOn w:val="Normal"/>
    <w:rsid w:val="006036E6"/>
    <w:pPr>
      <w:pBdr>
        <w:top w:val="single" w:sz="4" w:space="0" w:color="000000"/>
        <w:left w:val="single" w:sz="4" w:space="0" w:color="000000"/>
        <w:bottom w:val="single" w:sz="4" w:space="0" w:color="000000"/>
        <w:right w:val="single" w:sz="4" w:space="0" w:color="000000"/>
      </w:pBdr>
      <w:shd w:val="clear" w:color="33CCCC" w:fill="FFFFFF"/>
      <w:spacing w:before="100" w:beforeAutospacing="1" w:after="100" w:afterAutospacing="1" w:line="240" w:lineRule="auto"/>
      <w:textAlignment w:val="center"/>
    </w:pPr>
    <w:rPr>
      <w:rFonts w:ascii="Cambria" w:eastAsia="Times New Roman" w:hAnsi="Cambria" w:cs="Times New Roman"/>
      <w:sz w:val="18"/>
      <w:szCs w:val="18"/>
      <w:lang w:eastAsia="es-CR"/>
    </w:rPr>
  </w:style>
  <w:style w:type="paragraph" w:customStyle="1" w:styleId="xl132">
    <w:name w:val="xl132"/>
    <w:basedOn w:val="Normal"/>
    <w:rsid w:val="006036E6"/>
    <w:pPr>
      <w:pBdr>
        <w:top w:val="single" w:sz="4" w:space="0" w:color="000000"/>
        <w:left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33">
    <w:name w:val="xl133"/>
    <w:basedOn w:val="Normal"/>
    <w:rsid w:val="006036E6"/>
    <w:pPr>
      <w:pBdr>
        <w:top w:val="single" w:sz="4" w:space="0" w:color="000000"/>
        <w:left w:val="single" w:sz="4" w:space="0" w:color="000000"/>
        <w:righ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34">
    <w:name w:val="xl134"/>
    <w:basedOn w:val="Normal"/>
    <w:rsid w:val="006036E6"/>
    <w:pPr>
      <w:pBdr>
        <w:top w:val="single" w:sz="4" w:space="0" w:color="000000"/>
        <w:lef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35">
    <w:name w:val="xl135"/>
    <w:basedOn w:val="Normal"/>
    <w:rsid w:val="006036E6"/>
    <w:pPr>
      <w:pBdr>
        <w:top w:val="single" w:sz="4" w:space="0" w:color="auto"/>
        <w:left w:val="single" w:sz="4" w:space="0" w:color="auto"/>
        <w:right w:val="single" w:sz="4" w:space="0" w:color="auto"/>
      </w:pBdr>
      <w:shd w:val="clear" w:color="33CCCC" w:fill="C6E0B4"/>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36">
    <w:name w:val="xl136"/>
    <w:basedOn w:val="Normal"/>
    <w:rsid w:val="006036E6"/>
    <w:pPr>
      <w:pBdr>
        <w:top w:val="single" w:sz="4" w:space="0" w:color="auto"/>
        <w:left w:val="single" w:sz="4" w:space="0" w:color="auto"/>
        <w:right w:val="single" w:sz="4" w:space="0" w:color="auto"/>
      </w:pBdr>
      <w:shd w:val="clear" w:color="33CCCC" w:fill="C6E0B4"/>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37">
    <w:name w:val="xl137"/>
    <w:basedOn w:val="Normal"/>
    <w:rsid w:val="006036E6"/>
    <w:pPr>
      <w:pBdr>
        <w:left w:val="single" w:sz="4" w:space="0" w:color="000000"/>
        <w:bottom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38">
    <w:name w:val="xl138"/>
    <w:basedOn w:val="Normal"/>
    <w:rsid w:val="006036E6"/>
    <w:pPr>
      <w:pBdr>
        <w:left w:val="single" w:sz="4" w:space="0" w:color="000000"/>
        <w:bottom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39">
    <w:name w:val="xl139"/>
    <w:basedOn w:val="Normal"/>
    <w:rsid w:val="006036E6"/>
    <w:pPr>
      <w:pBdr>
        <w:left w:val="single" w:sz="4" w:space="0" w:color="000000"/>
        <w:bottom w:val="single" w:sz="4" w:space="0" w:color="000000"/>
        <w:righ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40">
    <w:name w:val="xl140"/>
    <w:basedOn w:val="Normal"/>
    <w:rsid w:val="006036E6"/>
    <w:pPr>
      <w:pBdr>
        <w:left w:val="single" w:sz="4" w:space="0" w:color="000000"/>
        <w:bottom w:val="single" w:sz="4" w:space="0" w:color="000000"/>
        <w:righ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41">
    <w:name w:val="xl141"/>
    <w:basedOn w:val="Normal"/>
    <w:rsid w:val="006036E6"/>
    <w:pPr>
      <w:pBdr>
        <w:left w:val="single" w:sz="4" w:space="0" w:color="000000"/>
        <w:bottom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42">
    <w:name w:val="xl142"/>
    <w:basedOn w:val="Normal"/>
    <w:rsid w:val="006036E6"/>
    <w:pPr>
      <w:pBdr>
        <w:left w:val="single" w:sz="4" w:space="0" w:color="auto"/>
        <w:bottom w:val="single" w:sz="4" w:space="0" w:color="auto"/>
        <w:right w:val="single" w:sz="4" w:space="0" w:color="auto"/>
      </w:pBdr>
      <w:shd w:val="clear" w:color="33CCCC" w:fill="C6E0B4"/>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43">
    <w:name w:val="xl143"/>
    <w:basedOn w:val="Normal"/>
    <w:rsid w:val="006036E6"/>
    <w:pPr>
      <w:pBdr>
        <w:left w:val="single" w:sz="4" w:space="0" w:color="auto"/>
        <w:bottom w:val="single" w:sz="4" w:space="0" w:color="auto"/>
        <w:right w:val="single" w:sz="4" w:space="0" w:color="auto"/>
      </w:pBdr>
      <w:shd w:val="clear" w:color="33CCCC" w:fill="C6E0B4"/>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44">
    <w:name w:val="xl144"/>
    <w:basedOn w:val="Normal"/>
    <w:rsid w:val="006036E6"/>
    <w:pPr>
      <w:pBdr>
        <w:top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45">
    <w:name w:val="xl145"/>
    <w:basedOn w:val="Normal"/>
    <w:rsid w:val="006036E6"/>
    <w:pPr>
      <w:pBdr>
        <w:top w:val="single" w:sz="4" w:space="0" w:color="000000"/>
        <w:left w:val="single" w:sz="4" w:space="0" w:color="000000"/>
        <w:bottom w:val="single" w:sz="4" w:space="0" w:color="000000"/>
        <w:right w:val="single" w:sz="4" w:space="0" w:color="000000"/>
      </w:pBdr>
      <w:shd w:val="clear" w:color="33CCCC" w:fill="DDEBF7"/>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46">
    <w:name w:val="xl146"/>
    <w:basedOn w:val="Normal"/>
    <w:rsid w:val="006036E6"/>
    <w:pPr>
      <w:pBdr>
        <w:top w:val="single" w:sz="4" w:space="0" w:color="000000"/>
        <w:left w:val="single" w:sz="4" w:space="0" w:color="000000"/>
        <w:bottom w:val="single" w:sz="4" w:space="0" w:color="000000"/>
        <w:right w:val="single" w:sz="4" w:space="0" w:color="000000"/>
      </w:pBdr>
      <w:shd w:val="clear" w:color="33CCCC" w:fill="DDEBF7"/>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47">
    <w:name w:val="xl147"/>
    <w:basedOn w:val="Normal"/>
    <w:rsid w:val="006036E6"/>
    <w:pPr>
      <w:pBdr>
        <w:top w:val="single" w:sz="4" w:space="0" w:color="000000"/>
        <w:left w:val="single" w:sz="4" w:space="0" w:color="000000"/>
        <w:bottom w:val="single" w:sz="4" w:space="0" w:color="000000"/>
        <w:right w:val="single" w:sz="4" w:space="0" w:color="000000"/>
      </w:pBdr>
      <w:shd w:val="clear" w:color="CCFFFF" w:fill="DDEBF7"/>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148">
    <w:name w:val="xl148"/>
    <w:basedOn w:val="Normal"/>
    <w:rsid w:val="006036E6"/>
    <w:pPr>
      <w:pBdr>
        <w:top w:val="single" w:sz="4" w:space="0" w:color="000000"/>
        <w:left w:val="single" w:sz="4" w:space="0" w:color="000000"/>
        <w:bottom w:val="single" w:sz="4" w:space="0" w:color="000000"/>
        <w:right w:val="single" w:sz="4" w:space="0" w:color="000000"/>
      </w:pBdr>
      <w:shd w:val="clear" w:color="33CCCC" w:fill="DDEBF7"/>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49">
    <w:name w:val="xl149"/>
    <w:basedOn w:val="Normal"/>
    <w:rsid w:val="006036E6"/>
    <w:pPr>
      <w:pBdr>
        <w:top w:val="single" w:sz="4" w:space="0" w:color="000000"/>
        <w:left w:val="single" w:sz="4" w:space="0" w:color="000000"/>
        <w:bottom w:val="single" w:sz="4" w:space="0" w:color="000000"/>
        <w:right w:val="single" w:sz="4" w:space="0" w:color="000000"/>
      </w:pBdr>
      <w:shd w:val="clear" w:color="FFFFFF" w:fill="DDEBF7"/>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50">
    <w:name w:val="xl150"/>
    <w:basedOn w:val="Normal"/>
    <w:rsid w:val="006036E6"/>
    <w:pPr>
      <w:pBdr>
        <w:top w:val="single" w:sz="4" w:space="0" w:color="000000"/>
        <w:left w:val="single" w:sz="4" w:space="0" w:color="000000"/>
        <w:bottom w:val="single" w:sz="4" w:space="0" w:color="000000"/>
        <w:right w:val="single" w:sz="4" w:space="0" w:color="000000"/>
      </w:pBdr>
      <w:shd w:val="clear" w:color="FFFFFF" w:fill="DDEBF7"/>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51">
    <w:name w:val="xl151"/>
    <w:basedOn w:val="Normal"/>
    <w:rsid w:val="006036E6"/>
    <w:pPr>
      <w:pBdr>
        <w:top w:val="single" w:sz="4" w:space="0" w:color="000000"/>
        <w:left w:val="single" w:sz="4" w:space="0" w:color="000000"/>
        <w:bottom w:val="single" w:sz="4" w:space="0" w:color="000000"/>
        <w:right w:val="single" w:sz="4" w:space="0" w:color="000000"/>
      </w:pBdr>
      <w:shd w:val="clear" w:color="FFFFFF" w:fill="DDEBF7"/>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52">
    <w:name w:val="xl152"/>
    <w:basedOn w:val="Normal"/>
    <w:rsid w:val="006036E6"/>
    <w:pPr>
      <w:pBdr>
        <w:top w:val="single" w:sz="4" w:space="0" w:color="000000"/>
        <w:left w:val="single" w:sz="4" w:space="0" w:color="000000"/>
        <w:bottom w:val="single" w:sz="4" w:space="0" w:color="000000"/>
        <w:right w:val="single" w:sz="4" w:space="0" w:color="000000"/>
      </w:pBdr>
      <w:shd w:val="clear" w:color="FFFFFF" w:fill="BDD7EE"/>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53">
    <w:name w:val="xl153"/>
    <w:basedOn w:val="Normal"/>
    <w:rsid w:val="006036E6"/>
    <w:pPr>
      <w:pBdr>
        <w:top w:val="single" w:sz="4" w:space="0" w:color="000000"/>
        <w:left w:val="single" w:sz="4" w:space="0" w:color="000000"/>
        <w:bottom w:val="single" w:sz="4" w:space="0" w:color="000000"/>
        <w:right w:val="single" w:sz="4" w:space="0" w:color="000000"/>
      </w:pBdr>
      <w:shd w:val="clear" w:color="FFFFFF" w:fill="BDD7EE"/>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54">
    <w:name w:val="xl154"/>
    <w:basedOn w:val="Normal"/>
    <w:rsid w:val="006036E6"/>
    <w:pPr>
      <w:pBdr>
        <w:top w:val="single" w:sz="4" w:space="0" w:color="000000"/>
        <w:left w:val="single" w:sz="4" w:space="0" w:color="000000"/>
        <w:bottom w:val="single" w:sz="4" w:space="0" w:color="000000"/>
        <w:right w:val="single" w:sz="4" w:space="0" w:color="000000"/>
      </w:pBdr>
      <w:shd w:val="clear" w:color="FFFFFF" w:fill="BDD7EE"/>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55">
    <w:name w:val="xl155"/>
    <w:basedOn w:val="Normal"/>
    <w:rsid w:val="006036E6"/>
    <w:pPr>
      <w:pBdr>
        <w:top w:val="single" w:sz="4" w:space="0" w:color="000000"/>
        <w:left w:val="single" w:sz="4" w:space="0" w:color="000000"/>
        <w:bottom w:val="single" w:sz="4" w:space="0" w:color="000000"/>
        <w:right w:val="single" w:sz="4" w:space="0" w:color="000000"/>
      </w:pBdr>
      <w:shd w:val="clear" w:color="FFFFFF" w:fill="9BC2E6"/>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56">
    <w:name w:val="xl156"/>
    <w:basedOn w:val="Normal"/>
    <w:rsid w:val="006036E6"/>
    <w:pPr>
      <w:pBdr>
        <w:top w:val="single" w:sz="4" w:space="0" w:color="000000"/>
        <w:left w:val="single" w:sz="4" w:space="0" w:color="000000"/>
        <w:bottom w:val="single" w:sz="4" w:space="0" w:color="000000"/>
        <w:right w:val="single" w:sz="4" w:space="0" w:color="000000"/>
      </w:pBdr>
      <w:shd w:val="clear" w:color="FFFFFF" w:fill="9BC2E6"/>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57">
    <w:name w:val="xl157"/>
    <w:basedOn w:val="Normal"/>
    <w:rsid w:val="006036E6"/>
    <w:pPr>
      <w:pBdr>
        <w:top w:val="single" w:sz="4" w:space="0" w:color="000000"/>
        <w:left w:val="single" w:sz="4" w:space="0" w:color="000000"/>
        <w:bottom w:val="single" w:sz="4" w:space="0" w:color="000000"/>
        <w:right w:val="single" w:sz="4" w:space="0" w:color="000000"/>
      </w:pBdr>
      <w:shd w:val="clear" w:color="FFFFFF" w:fill="9BC2E6"/>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58">
    <w:name w:val="xl158"/>
    <w:basedOn w:val="Normal"/>
    <w:rsid w:val="006036E6"/>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59">
    <w:name w:val="xl159"/>
    <w:basedOn w:val="Normal"/>
    <w:rsid w:val="006036E6"/>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60">
    <w:name w:val="xl160"/>
    <w:basedOn w:val="Normal"/>
    <w:rsid w:val="006036E6"/>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61">
    <w:name w:val="xl161"/>
    <w:basedOn w:val="Normal"/>
    <w:rsid w:val="006036E6"/>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62">
    <w:name w:val="xl162"/>
    <w:basedOn w:val="Normal"/>
    <w:rsid w:val="006036E6"/>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63">
    <w:name w:val="xl163"/>
    <w:basedOn w:val="Normal"/>
    <w:rsid w:val="006036E6"/>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64">
    <w:name w:val="xl164"/>
    <w:basedOn w:val="Normal"/>
    <w:rsid w:val="006036E6"/>
    <w:pPr>
      <w:pBdr>
        <w:top w:val="single" w:sz="4" w:space="0" w:color="000000"/>
        <w:bottom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65">
    <w:name w:val="xl165"/>
    <w:basedOn w:val="Normal"/>
    <w:rsid w:val="006036E6"/>
    <w:pPr>
      <w:pBdr>
        <w:top w:val="single" w:sz="4" w:space="0" w:color="000000"/>
        <w:left w:val="single" w:sz="4" w:space="0" w:color="000000"/>
        <w:right w:val="single" w:sz="4" w:space="0" w:color="000000"/>
      </w:pBdr>
      <w:shd w:val="clear" w:color="FF9900"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66">
    <w:name w:val="xl166"/>
    <w:basedOn w:val="Normal"/>
    <w:rsid w:val="006036E6"/>
    <w:pPr>
      <w:pBdr>
        <w:top w:val="single" w:sz="4" w:space="0" w:color="000000"/>
        <w:left w:val="single" w:sz="4" w:space="0" w:color="000000"/>
        <w:right w:val="single" w:sz="4" w:space="0" w:color="000000"/>
      </w:pBdr>
      <w:shd w:val="clear" w:color="FF9900"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67">
    <w:name w:val="xl167"/>
    <w:basedOn w:val="Normal"/>
    <w:rsid w:val="006036E6"/>
    <w:pPr>
      <w:pBdr>
        <w:top w:val="single" w:sz="4" w:space="0" w:color="000000"/>
        <w:left w:val="single" w:sz="4" w:space="0" w:color="000000"/>
        <w:right w:val="single" w:sz="4" w:space="0" w:color="000000"/>
      </w:pBdr>
      <w:shd w:val="clear" w:color="FF9900"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68">
    <w:name w:val="xl168"/>
    <w:basedOn w:val="Normal"/>
    <w:rsid w:val="006036E6"/>
    <w:pPr>
      <w:pBdr>
        <w:top w:val="single" w:sz="4" w:space="0" w:color="000000"/>
        <w:left w:val="single" w:sz="4" w:space="0" w:color="000000"/>
        <w:right w:val="single" w:sz="4" w:space="0" w:color="000000"/>
      </w:pBdr>
      <w:shd w:val="clear" w:color="FF9900"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69">
    <w:name w:val="xl169"/>
    <w:basedOn w:val="Normal"/>
    <w:rsid w:val="006036E6"/>
    <w:pPr>
      <w:pBdr>
        <w:top w:val="single" w:sz="4" w:space="0" w:color="000000"/>
        <w:left w:val="single" w:sz="4" w:space="0" w:color="000000"/>
        <w:right w:val="single" w:sz="4" w:space="0" w:color="000000"/>
      </w:pBdr>
      <w:shd w:val="clear" w:color="FF9900" w:fill="FFFFFF"/>
      <w:spacing w:before="100" w:beforeAutospacing="1" w:after="100" w:afterAutospacing="1" w:line="240" w:lineRule="auto"/>
      <w:textAlignment w:val="center"/>
    </w:pPr>
    <w:rPr>
      <w:rFonts w:ascii="Cambria" w:eastAsia="Times New Roman" w:hAnsi="Cambria" w:cs="Times New Roman"/>
      <w:sz w:val="18"/>
      <w:szCs w:val="18"/>
      <w:lang w:eastAsia="es-CR"/>
    </w:rPr>
  </w:style>
  <w:style w:type="paragraph" w:customStyle="1" w:styleId="xl170">
    <w:name w:val="xl170"/>
    <w:basedOn w:val="Normal"/>
    <w:rsid w:val="006036E6"/>
    <w:pPr>
      <w:pBdr>
        <w:top w:val="single" w:sz="4" w:space="0" w:color="000000"/>
        <w:left w:val="single" w:sz="4" w:space="0" w:color="000000"/>
        <w:bottom w:val="single" w:sz="4" w:space="0" w:color="000000"/>
        <w:right w:val="single" w:sz="4" w:space="0" w:color="000000"/>
      </w:pBdr>
      <w:shd w:val="clear" w:color="FFFFFF" w:fill="DDEBF7"/>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171">
    <w:name w:val="xl171"/>
    <w:basedOn w:val="Normal"/>
    <w:rsid w:val="006036E6"/>
    <w:pPr>
      <w:pBdr>
        <w:top w:val="single" w:sz="4" w:space="0" w:color="000000"/>
        <w:left w:val="single" w:sz="4" w:space="0" w:color="000000"/>
        <w:bottom w:val="single" w:sz="4" w:space="0" w:color="000000"/>
        <w:right w:val="single" w:sz="4" w:space="0" w:color="000000"/>
      </w:pBdr>
      <w:shd w:val="clear" w:color="FF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172">
    <w:name w:val="xl172"/>
    <w:basedOn w:val="Normal"/>
    <w:rsid w:val="006036E6"/>
    <w:pPr>
      <w:pBdr>
        <w:top w:val="single" w:sz="4" w:space="0" w:color="000000"/>
        <w:left w:val="single" w:sz="4" w:space="0" w:color="000000"/>
        <w:bottom w:val="single" w:sz="4" w:space="0" w:color="000000"/>
        <w:right w:val="single" w:sz="4" w:space="0" w:color="000000"/>
      </w:pBdr>
      <w:shd w:val="clear" w:color="FFFFFF" w:fill="9BC2E6"/>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173">
    <w:name w:val="xl173"/>
    <w:basedOn w:val="Normal"/>
    <w:rsid w:val="006036E6"/>
    <w:pPr>
      <w:pBdr>
        <w:top w:val="single" w:sz="4" w:space="0" w:color="auto"/>
        <w:left w:val="single" w:sz="4" w:space="0" w:color="auto"/>
        <w:bottom w:val="single" w:sz="4" w:space="0" w:color="auto"/>
        <w:right w:val="single" w:sz="4" w:space="0" w:color="auto"/>
      </w:pBdr>
      <w:shd w:val="clear" w:color="FF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174">
    <w:name w:val="xl174"/>
    <w:basedOn w:val="Normal"/>
    <w:rsid w:val="006036E6"/>
    <w:pPr>
      <w:pBdr>
        <w:top w:val="single" w:sz="4" w:space="0" w:color="auto"/>
        <w:left w:val="single" w:sz="4" w:space="0" w:color="auto"/>
        <w:bottom w:val="single" w:sz="4" w:space="0" w:color="auto"/>
        <w:right w:val="single" w:sz="4" w:space="0" w:color="auto"/>
      </w:pBdr>
      <w:shd w:val="clear" w:color="FFFFFF" w:fill="9BC2E6"/>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175">
    <w:name w:val="xl175"/>
    <w:basedOn w:val="Normal"/>
    <w:rsid w:val="006036E6"/>
    <w:pPr>
      <w:pBdr>
        <w:top w:val="single" w:sz="4" w:space="0" w:color="000000"/>
        <w:left w:val="single" w:sz="4" w:space="0" w:color="000000"/>
        <w:bottom w:val="single" w:sz="4" w:space="0" w:color="000000"/>
        <w:right w:val="single" w:sz="4" w:space="0" w:color="000000"/>
      </w:pBdr>
      <w:shd w:val="clear" w:color="CC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176">
    <w:name w:val="xl176"/>
    <w:basedOn w:val="Normal"/>
    <w:rsid w:val="006036E6"/>
    <w:pPr>
      <w:pBdr>
        <w:top w:val="single" w:sz="4" w:space="0" w:color="000000"/>
        <w:left w:val="single" w:sz="4" w:space="0" w:color="000000"/>
        <w:bottom w:val="single" w:sz="4" w:space="0" w:color="000000"/>
        <w:right w:val="single" w:sz="4" w:space="0" w:color="000000"/>
      </w:pBdr>
      <w:shd w:val="clear" w:color="33CCCC" w:fill="BDD7EE"/>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77">
    <w:name w:val="xl177"/>
    <w:basedOn w:val="Normal"/>
    <w:rsid w:val="006036E6"/>
    <w:pPr>
      <w:pBdr>
        <w:top w:val="single" w:sz="4" w:space="0" w:color="000000"/>
        <w:left w:val="single" w:sz="4" w:space="0" w:color="000000"/>
        <w:bottom w:val="single" w:sz="4" w:space="0" w:color="000000"/>
        <w:right w:val="single" w:sz="4" w:space="0" w:color="000000"/>
      </w:pBdr>
      <w:shd w:val="clear" w:color="33CCCC" w:fill="BDD7EE"/>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78">
    <w:name w:val="xl178"/>
    <w:basedOn w:val="Normal"/>
    <w:rsid w:val="006036E6"/>
    <w:pPr>
      <w:pBdr>
        <w:top w:val="single" w:sz="4" w:space="0" w:color="000000"/>
        <w:left w:val="single" w:sz="4" w:space="0" w:color="000000"/>
        <w:bottom w:val="single" w:sz="4" w:space="0" w:color="000000"/>
        <w:right w:val="single" w:sz="4" w:space="0" w:color="000000"/>
      </w:pBdr>
      <w:shd w:val="clear" w:color="33CCCC" w:fill="BDD7EE"/>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179">
    <w:name w:val="xl179"/>
    <w:basedOn w:val="Normal"/>
    <w:rsid w:val="006036E6"/>
    <w:pPr>
      <w:pBdr>
        <w:top w:val="single" w:sz="4" w:space="0" w:color="000000"/>
        <w:bottom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80">
    <w:name w:val="xl180"/>
    <w:basedOn w:val="Normal"/>
    <w:rsid w:val="006036E6"/>
    <w:pPr>
      <w:pBdr>
        <w:top w:val="single" w:sz="4" w:space="0" w:color="000000"/>
        <w:left w:val="single" w:sz="4" w:space="0" w:color="000000"/>
        <w:right w:val="single" w:sz="4" w:space="0" w:color="000000"/>
      </w:pBdr>
      <w:shd w:val="clear" w:color="CCCCFF"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81">
    <w:name w:val="xl181"/>
    <w:basedOn w:val="Normal"/>
    <w:rsid w:val="006036E6"/>
    <w:pPr>
      <w:pBdr>
        <w:top w:val="single" w:sz="4" w:space="0" w:color="000000"/>
        <w:left w:val="single" w:sz="4" w:space="0" w:color="000000"/>
        <w:right w:val="single" w:sz="4" w:space="0" w:color="000000"/>
      </w:pBdr>
      <w:shd w:val="clear" w:color="CCCCFF"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82">
    <w:name w:val="xl182"/>
    <w:basedOn w:val="Normal"/>
    <w:rsid w:val="006036E6"/>
    <w:pPr>
      <w:pBdr>
        <w:top w:val="single" w:sz="4" w:space="0" w:color="000000"/>
        <w:left w:val="single" w:sz="4" w:space="0" w:color="000000"/>
        <w:right w:val="single" w:sz="4" w:space="0" w:color="000000"/>
      </w:pBdr>
      <w:shd w:val="clear" w:color="CCCCFF" w:fill="FFFFFF"/>
      <w:spacing w:before="100" w:beforeAutospacing="1" w:after="100" w:afterAutospacing="1" w:line="240" w:lineRule="auto"/>
      <w:textAlignment w:val="center"/>
    </w:pPr>
    <w:rPr>
      <w:rFonts w:ascii="Cambria" w:eastAsia="Times New Roman" w:hAnsi="Cambria" w:cs="Times New Roman"/>
      <w:sz w:val="16"/>
      <w:szCs w:val="16"/>
      <w:lang w:eastAsia="es-CR"/>
    </w:rPr>
  </w:style>
  <w:style w:type="paragraph" w:customStyle="1" w:styleId="xl183">
    <w:name w:val="xl183"/>
    <w:basedOn w:val="Normal"/>
    <w:rsid w:val="006036E6"/>
    <w:pPr>
      <w:pBdr>
        <w:top w:val="single" w:sz="4" w:space="0" w:color="auto"/>
        <w:left w:val="single" w:sz="4" w:space="0" w:color="auto"/>
        <w:bottom w:val="single" w:sz="4" w:space="0" w:color="auto"/>
        <w:right w:val="single" w:sz="4" w:space="0" w:color="auto"/>
      </w:pBdr>
      <w:shd w:val="clear" w:color="FFFFFF" w:fill="BDD7EE"/>
      <w:spacing w:before="100" w:beforeAutospacing="1" w:after="100" w:afterAutospacing="1" w:line="240" w:lineRule="auto"/>
      <w:textAlignment w:val="center"/>
    </w:pPr>
    <w:rPr>
      <w:rFonts w:ascii="Cambria" w:eastAsia="Times New Roman" w:hAnsi="Cambria" w:cs="Times New Roman"/>
      <w:i/>
      <w:iCs/>
      <w:sz w:val="20"/>
      <w:szCs w:val="20"/>
      <w:lang w:eastAsia="es-CR"/>
    </w:rPr>
  </w:style>
  <w:style w:type="paragraph" w:customStyle="1" w:styleId="xl184">
    <w:name w:val="xl184"/>
    <w:basedOn w:val="Normal"/>
    <w:rsid w:val="006036E6"/>
    <w:pPr>
      <w:pBdr>
        <w:top w:val="single" w:sz="4" w:space="0" w:color="auto"/>
        <w:left w:val="single" w:sz="4" w:space="0" w:color="auto"/>
        <w:bottom w:val="single" w:sz="4" w:space="0" w:color="auto"/>
        <w:right w:val="single" w:sz="4" w:space="0" w:color="auto"/>
      </w:pBdr>
      <w:shd w:val="clear" w:color="FFFFFF" w:fill="9BC2E6"/>
      <w:spacing w:before="100" w:beforeAutospacing="1" w:after="100" w:afterAutospacing="1" w:line="240" w:lineRule="auto"/>
      <w:textAlignment w:val="center"/>
    </w:pPr>
    <w:rPr>
      <w:rFonts w:ascii="Cambria" w:eastAsia="Times New Roman" w:hAnsi="Cambria" w:cs="Times New Roman"/>
      <w:i/>
      <w:iCs/>
      <w:sz w:val="20"/>
      <w:szCs w:val="20"/>
      <w:lang w:eastAsia="es-CR"/>
    </w:rPr>
  </w:style>
  <w:style w:type="paragraph" w:customStyle="1" w:styleId="xl185">
    <w:name w:val="xl185"/>
    <w:basedOn w:val="Normal"/>
    <w:rsid w:val="006036E6"/>
    <w:pPr>
      <w:pBdr>
        <w:top w:val="single" w:sz="4" w:space="0" w:color="000000"/>
        <w:left w:val="single" w:sz="4" w:space="0" w:color="000000"/>
        <w:bottom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186">
    <w:name w:val="xl186"/>
    <w:basedOn w:val="Normal"/>
    <w:rsid w:val="006036E6"/>
    <w:pPr>
      <w:pBdr>
        <w:top w:val="single" w:sz="4" w:space="0" w:color="000000"/>
        <w:left w:val="single" w:sz="4" w:space="0" w:color="000000"/>
        <w:bottom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187">
    <w:name w:val="xl187"/>
    <w:basedOn w:val="Normal"/>
    <w:rsid w:val="006036E6"/>
    <w:pPr>
      <w:pBdr>
        <w:top w:val="single" w:sz="4" w:space="0" w:color="000000"/>
        <w:left w:val="single" w:sz="4" w:space="0" w:color="000000"/>
        <w:bottom w:val="single" w:sz="4" w:space="0" w:color="000000"/>
        <w:righ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188">
    <w:name w:val="xl188"/>
    <w:basedOn w:val="Normal"/>
    <w:rsid w:val="006036E6"/>
    <w:pPr>
      <w:pBdr>
        <w:top w:val="single" w:sz="4" w:space="0" w:color="000000"/>
        <w:left w:val="single" w:sz="4" w:space="0" w:color="000000"/>
        <w:bottom w:val="single" w:sz="4" w:space="0" w:color="000000"/>
        <w:righ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189">
    <w:name w:val="xl189"/>
    <w:basedOn w:val="Normal"/>
    <w:rsid w:val="006036E6"/>
    <w:pPr>
      <w:pBdr>
        <w:top w:val="single" w:sz="4" w:space="0" w:color="000000"/>
        <w:left w:val="single" w:sz="4" w:space="0" w:color="000000"/>
        <w:bottom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190">
    <w:name w:val="xl190"/>
    <w:basedOn w:val="Normal"/>
    <w:rsid w:val="006036E6"/>
    <w:pPr>
      <w:pBdr>
        <w:top w:val="single" w:sz="4" w:space="0" w:color="auto"/>
        <w:left w:val="single" w:sz="4" w:space="0" w:color="auto"/>
        <w:bottom w:val="single" w:sz="4" w:space="0" w:color="auto"/>
        <w:right w:val="single" w:sz="4" w:space="0" w:color="auto"/>
      </w:pBdr>
      <w:shd w:val="clear" w:color="33CCCC" w:fill="C6E0B4"/>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191">
    <w:name w:val="xl191"/>
    <w:basedOn w:val="Normal"/>
    <w:rsid w:val="006036E6"/>
    <w:pPr>
      <w:pBdr>
        <w:top w:val="single" w:sz="4" w:space="0" w:color="auto"/>
        <w:left w:val="single" w:sz="4" w:space="0" w:color="auto"/>
        <w:bottom w:val="single" w:sz="4" w:space="0" w:color="auto"/>
        <w:right w:val="single" w:sz="4" w:space="0" w:color="auto"/>
      </w:pBdr>
      <w:shd w:val="clear" w:color="33CCCC" w:fill="C6E0B4"/>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192">
    <w:name w:val="xl192"/>
    <w:basedOn w:val="Normal"/>
    <w:rsid w:val="006036E6"/>
    <w:pPr>
      <w:pBdr>
        <w:top w:val="single" w:sz="4" w:space="0" w:color="000000"/>
        <w:left w:val="single" w:sz="4" w:space="0" w:color="000000"/>
        <w:bottom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93">
    <w:name w:val="xl193"/>
    <w:basedOn w:val="Normal"/>
    <w:rsid w:val="006036E6"/>
    <w:pPr>
      <w:pBdr>
        <w:top w:val="single" w:sz="4" w:space="0" w:color="000000"/>
        <w:left w:val="single" w:sz="4" w:space="0" w:color="000000"/>
        <w:bottom w:val="single" w:sz="4" w:space="0" w:color="000000"/>
        <w:right w:val="single" w:sz="4" w:space="0" w:color="000000"/>
      </w:pBdr>
      <w:shd w:val="clear" w:color="FF99CC" w:fill="FF808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94">
    <w:name w:val="xl194"/>
    <w:basedOn w:val="Normal"/>
    <w:rsid w:val="006036E6"/>
    <w:pPr>
      <w:pBdr>
        <w:top w:val="single" w:sz="4" w:space="0" w:color="000000"/>
        <w:left w:val="single" w:sz="4" w:space="0" w:color="000000"/>
        <w:bottom w:val="single" w:sz="4" w:space="0" w:color="000000"/>
        <w:right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95">
    <w:name w:val="xl195"/>
    <w:basedOn w:val="Normal"/>
    <w:rsid w:val="006036E6"/>
    <w:pPr>
      <w:pBdr>
        <w:top w:val="single" w:sz="4" w:space="0" w:color="000000"/>
        <w:left w:val="single" w:sz="4" w:space="0" w:color="000000"/>
        <w:bottom w:val="single" w:sz="4" w:space="0" w:color="000000"/>
      </w:pBdr>
      <w:shd w:val="clear" w:color="FFFFCC" w:fill="FFFF99"/>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96">
    <w:name w:val="xl196"/>
    <w:basedOn w:val="Normal"/>
    <w:rsid w:val="006036E6"/>
    <w:pPr>
      <w:pBdr>
        <w:top w:val="single" w:sz="4" w:space="0" w:color="auto"/>
        <w:left w:val="single" w:sz="4" w:space="0" w:color="auto"/>
        <w:bottom w:val="single" w:sz="4" w:space="0" w:color="auto"/>
        <w:right w:val="single" w:sz="4" w:space="0" w:color="auto"/>
      </w:pBdr>
      <w:shd w:val="clear" w:color="33CCCC" w:fill="C6E0B4"/>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97">
    <w:name w:val="xl197"/>
    <w:basedOn w:val="Normal"/>
    <w:rsid w:val="006036E6"/>
    <w:pPr>
      <w:pBdr>
        <w:top w:val="single" w:sz="4" w:space="0" w:color="auto"/>
        <w:left w:val="single" w:sz="4" w:space="0" w:color="auto"/>
        <w:bottom w:val="single" w:sz="4" w:space="0" w:color="auto"/>
        <w:right w:val="single" w:sz="4" w:space="0" w:color="auto"/>
      </w:pBdr>
      <w:shd w:val="clear" w:color="33CCCC" w:fill="C6E0B4"/>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198">
    <w:name w:val="xl198"/>
    <w:basedOn w:val="Normal"/>
    <w:rsid w:val="006036E6"/>
    <w:pPr>
      <w:pBdr>
        <w:top w:val="single" w:sz="4" w:space="0" w:color="000000"/>
        <w:left w:val="single" w:sz="4" w:space="0" w:color="000000"/>
        <w:bottom w:val="single" w:sz="4" w:space="0" w:color="000000"/>
        <w:right w:val="single" w:sz="4" w:space="0" w:color="000000"/>
      </w:pBdr>
      <w:shd w:val="clear" w:color="FFFFFF" w:fill="9BC2E6"/>
      <w:spacing w:before="100" w:beforeAutospacing="1" w:after="100" w:afterAutospacing="1" w:line="240" w:lineRule="auto"/>
      <w:jc w:val="center"/>
      <w:textAlignment w:val="center"/>
    </w:pPr>
    <w:rPr>
      <w:rFonts w:ascii="Cambria" w:eastAsia="Times New Roman" w:hAnsi="Cambria" w:cs="Times New Roman"/>
      <w:b/>
      <w:bCs/>
      <w:i/>
      <w:iCs/>
      <w:sz w:val="20"/>
      <w:szCs w:val="20"/>
      <w:lang w:eastAsia="es-CR"/>
    </w:rPr>
  </w:style>
  <w:style w:type="paragraph" w:customStyle="1" w:styleId="xl199">
    <w:name w:val="xl199"/>
    <w:basedOn w:val="Normal"/>
    <w:rsid w:val="006036E6"/>
    <w:pPr>
      <w:pBdr>
        <w:top w:val="single" w:sz="4" w:space="0" w:color="000000"/>
        <w:left w:val="single" w:sz="4" w:space="0" w:color="000000"/>
        <w:bottom w:val="single" w:sz="4" w:space="0" w:color="000000"/>
        <w:right w:val="single" w:sz="4" w:space="0" w:color="000000"/>
      </w:pBdr>
      <w:shd w:val="clear" w:color="FFFFFF" w:fill="9BC2E6"/>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00">
    <w:name w:val="xl200"/>
    <w:basedOn w:val="Normal"/>
    <w:rsid w:val="006036E6"/>
    <w:pPr>
      <w:pBdr>
        <w:top w:val="single" w:sz="4" w:space="0" w:color="000000"/>
        <w:left w:val="single" w:sz="4" w:space="0" w:color="000000"/>
        <w:bottom w:val="single" w:sz="4" w:space="0" w:color="000000"/>
        <w:right w:val="single" w:sz="4" w:space="0" w:color="000000"/>
      </w:pBdr>
      <w:shd w:val="clear" w:color="FFFFFF" w:fill="9BC2E6"/>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01">
    <w:name w:val="xl201"/>
    <w:basedOn w:val="Normal"/>
    <w:rsid w:val="006036E6"/>
    <w:pPr>
      <w:pBdr>
        <w:top w:val="single" w:sz="4" w:space="0" w:color="000000"/>
        <w:left w:val="single" w:sz="4" w:space="0" w:color="000000"/>
        <w:bottom w:val="single" w:sz="4" w:space="0" w:color="000000"/>
        <w:right w:val="single" w:sz="4" w:space="0" w:color="000000"/>
      </w:pBdr>
      <w:shd w:val="clear" w:color="FFFFFF" w:fill="9BC2E6"/>
      <w:spacing w:before="100" w:beforeAutospacing="1" w:after="100" w:afterAutospacing="1" w:line="240" w:lineRule="auto"/>
      <w:textAlignment w:val="center"/>
    </w:pPr>
    <w:rPr>
      <w:rFonts w:ascii="Cambria" w:eastAsia="Times New Roman" w:hAnsi="Cambria" w:cs="Times New Roman"/>
      <w:b/>
      <w:bCs/>
      <w:sz w:val="20"/>
      <w:szCs w:val="20"/>
      <w:lang w:eastAsia="es-CR"/>
    </w:rPr>
  </w:style>
  <w:style w:type="paragraph" w:customStyle="1" w:styleId="xl202">
    <w:name w:val="xl202"/>
    <w:basedOn w:val="Normal"/>
    <w:rsid w:val="006036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03">
    <w:name w:val="xl203"/>
    <w:basedOn w:val="Normal"/>
    <w:rsid w:val="006036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04">
    <w:name w:val="xl204"/>
    <w:basedOn w:val="Normal"/>
    <w:rsid w:val="006036E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205">
    <w:name w:val="xl205"/>
    <w:basedOn w:val="Normal"/>
    <w:rsid w:val="006036E6"/>
    <w:pPr>
      <w:pBdr>
        <w:top w:val="single" w:sz="4" w:space="0" w:color="000000"/>
        <w:left w:val="single" w:sz="4" w:space="0" w:color="000000"/>
        <w:right w:val="single" w:sz="4" w:space="0" w:color="000000"/>
      </w:pBdr>
      <w:shd w:val="clear" w:color="CCFFFF"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06">
    <w:name w:val="xl206"/>
    <w:basedOn w:val="Normal"/>
    <w:rsid w:val="006036E6"/>
    <w:pPr>
      <w:pBdr>
        <w:top w:val="single" w:sz="4" w:space="0" w:color="000000"/>
        <w:left w:val="single" w:sz="4" w:space="0" w:color="000000"/>
        <w:right w:val="single" w:sz="4" w:space="0" w:color="000000"/>
      </w:pBdr>
      <w:shd w:val="clear" w:color="CCFFFF"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07">
    <w:name w:val="xl207"/>
    <w:basedOn w:val="Normal"/>
    <w:rsid w:val="006036E6"/>
    <w:pPr>
      <w:pBdr>
        <w:top w:val="single" w:sz="4" w:space="0" w:color="000000"/>
        <w:left w:val="single" w:sz="4" w:space="0" w:color="000000"/>
        <w:right w:val="single" w:sz="4" w:space="0" w:color="000000"/>
      </w:pBdr>
      <w:shd w:val="clear" w:color="CCFFFF" w:fill="FFFFFF"/>
      <w:spacing w:before="100" w:beforeAutospacing="1" w:after="100" w:afterAutospacing="1" w:line="240" w:lineRule="auto"/>
      <w:textAlignment w:val="center"/>
    </w:pPr>
    <w:rPr>
      <w:rFonts w:ascii="Cambria" w:eastAsia="Times New Roman" w:hAnsi="Cambria" w:cs="Times New Roman"/>
      <w:sz w:val="18"/>
      <w:szCs w:val="18"/>
      <w:lang w:eastAsia="es-CR"/>
    </w:rPr>
  </w:style>
  <w:style w:type="paragraph" w:customStyle="1" w:styleId="xl208">
    <w:name w:val="xl208"/>
    <w:basedOn w:val="Normal"/>
    <w:rsid w:val="006036E6"/>
    <w:pPr>
      <w:pBdr>
        <w:top w:val="single" w:sz="4" w:space="0" w:color="000000"/>
        <w:left w:val="single" w:sz="4" w:space="0" w:color="000000"/>
        <w:right w:val="single" w:sz="4" w:space="0" w:color="000000"/>
      </w:pBdr>
      <w:shd w:val="clear" w:color="FFFFFF" w:fill="DDEBF7"/>
      <w:spacing w:before="100" w:beforeAutospacing="1" w:after="100" w:afterAutospacing="1" w:line="240" w:lineRule="auto"/>
      <w:jc w:val="center"/>
      <w:textAlignment w:val="center"/>
    </w:pPr>
    <w:rPr>
      <w:rFonts w:ascii="Cambria" w:eastAsia="Times New Roman" w:hAnsi="Cambria" w:cs="Times New Roman"/>
      <w:b/>
      <w:bCs/>
      <w:i/>
      <w:iCs/>
      <w:sz w:val="20"/>
      <w:szCs w:val="20"/>
      <w:lang w:eastAsia="es-CR"/>
    </w:rPr>
  </w:style>
  <w:style w:type="paragraph" w:customStyle="1" w:styleId="xl209">
    <w:name w:val="xl209"/>
    <w:basedOn w:val="Normal"/>
    <w:rsid w:val="006036E6"/>
    <w:pPr>
      <w:pBdr>
        <w:left w:val="single" w:sz="4" w:space="0" w:color="000000"/>
        <w:right w:val="single" w:sz="4" w:space="0" w:color="000000"/>
      </w:pBdr>
      <w:shd w:val="clear" w:color="FFFFFF" w:fill="DDEBF7"/>
      <w:spacing w:before="100" w:beforeAutospacing="1" w:after="100" w:afterAutospacing="1" w:line="240" w:lineRule="auto"/>
      <w:jc w:val="center"/>
      <w:textAlignment w:val="center"/>
    </w:pPr>
    <w:rPr>
      <w:rFonts w:ascii="Cambria" w:eastAsia="Times New Roman" w:hAnsi="Cambria" w:cs="Times New Roman"/>
      <w:b/>
      <w:bCs/>
      <w:i/>
      <w:iCs/>
      <w:sz w:val="20"/>
      <w:szCs w:val="20"/>
      <w:lang w:eastAsia="es-CR"/>
    </w:rPr>
  </w:style>
  <w:style w:type="paragraph" w:customStyle="1" w:styleId="xl210">
    <w:name w:val="xl210"/>
    <w:basedOn w:val="Normal"/>
    <w:rsid w:val="006036E6"/>
    <w:pPr>
      <w:pBdr>
        <w:left w:val="single" w:sz="4" w:space="0" w:color="000000"/>
        <w:bottom w:val="single" w:sz="4" w:space="0" w:color="000000"/>
        <w:right w:val="single" w:sz="4" w:space="0" w:color="000000"/>
      </w:pBdr>
      <w:shd w:val="clear" w:color="FFFFFF" w:fill="DDEBF7"/>
      <w:spacing w:before="100" w:beforeAutospacing="1" w:after="100" w:afterAutospacing="1" w:line="240" w:lineRule="auto"/>
      <w:jc w:val="center"/>
      <w:textAlignment w:val="center"/>
    </w:pPr>
    <w:rPr>
      <w:rFonts w:ascii="Cambria" w:eastAsia="Times New Roman" w:hAnsi="Cambria" w:cs="Times New Roman"/>
      <w:b/>
      <w:bCs/>
      <w:i/>
      <w:iCs/>
      <w:sz w:val="20"/>
      <w:szCs w:val="20"/>
      <w:lang w:eastAsia="es-CR"/>
    </w:rPr>
  </w:style>
  <w:style w:type="paragraph" w:customStyle="1" w:styleId="xl211">
    <w:name w:val="xl211"/>
    <w:basedOn w:val="Normal"/>
    <w:rsid w:val="006036E6"/>
    <w:pPr>
      <w:pBdr>
        <w:top w:val="single" w:sz="4" w:space="0" w:color="000000"/>
        <w:left w:val="single" w:sz="4" w:space="0" w:color="000000"/>
        <w:righ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12">
    <w:name w:val="xl212"/>
    <w:basedOn w:val="Normal"/>
    <w:rsid w:val="006036E6"/>
    <w:pPr>
      <w:pBdr>
        <w:left w:val="single" w:sz="4" w:space="0" w:color="000000"/>
        <w:bottom w:val="single" w:sz="4" w:space="0" w:color="000000"/>
        <w:righ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13">
    <w:name w:val="xl213"/>
    <w:basedOn w:val="Normal"/>
    <w:rsid w:val="006036E6"/>
    <w:pPr>
      <w:pBdr>
        <w:left w:val="single" w:sz="4" w:space="0" w:color="000000"/>
      </w:pBdr>
      <w:shd w:val="clear" w:color="FF99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14">
    <w:name w:val="xl214"/>
    <w:basedOn w:val="Normal"/>
    <w:rsid w:val="006036E6"/>
    <w:pPr>
      <w:shd w:val="clear" w:color="FF99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15">
    <w:name w:val="xl215"/>
    <w:basedOn w:val="Normal"/>
    <w:rsid w:val="006036E6"/>
    <w:pPr>
      <w:pBdr>
        <w:right w:val="single" w:sz="4" w:space="0" w:color="auto"/>
      </w:pBdr>
      <w:shd w:val="clear" w:color="FF99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16">
    <w:name w:val="xl216"/>
    <w:basedOn w:val="Normal"/>
    <w:rsid w:val="006036E6"/>
    <w:pPr>
      <w:pBdr>
        <w:top w:val="single" w:sz="4" w:space="0" w:color="000000"/>
        <w:left w:val="single" w:sz="4" w:space="0" w:color="000000"/>
        <w:righ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sz w:val="18"/>
      <w:szCs w:val="18"/>
      <w:lang w:eastAsia="es-CR"/>
    </w:rPr>
  </w:style>
  <w:style w:type="paragraph" w:customStyle="1" w:styleId="xl217">
    <w:name w:val="xl217"/>
    <w:basedOn w:val="Normal"/>
    <w:rsid w:val="006036E6"/>
    <w:pPr>
      <w:pBdr>
        <w:left w:val="single" w:sz="4" w:space="0" w:color="000000"/>
        <w:bottom w:val="single" w:sz="4" w:space="0" w:color="000000"/>
        <w:righ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sz w:val="18"/>
      <w:szCs w:val="18"/>
      <w:lang w:eastAsia="es-CR"/>
    </w:rPr>
  </w:style>
  <w:style w:type="paragraph" w:customStyle="1" w:styleId="xl218">
    <w:name w:val="xl218"/>
    <w:basedOn w:val="Normal"/>
    <w:rsid w:val="006036E6"/>
    <w:pPr>
      <w:pBdr>
        <w:top w:val="single" w:sz="4" w:space="0" w:color="auto"/>
        <w:left w:val="single" w:sz="4" w:space="0" w:color="auto"/>
      </w:pBdr>
      <w:shd w:val="clear" w:color="CC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19">
    <w:name w:val="xl219"/>
    <w:basedOn w:val="Normal"/>
    <w:rsid w:val="006036E6"/>
    <w:pPr>
      <w:pBdr>
        <w:top w:val="single" w:sz="4" w:space="0" w:color="auto"/>
      </w:pBdr>
      <w:shd w:val="clear" w:color="CC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20">
    <w:name w:val="xl220"/>
    <w:basedOn w:val="Normal"/>
    <w:rsid w:val="006036E6"/>
    <w:pPr>
      <w:pBdr>
        <w:top w:val="single" w:sz="4" w:space="0" w:color="auto"/>
        <w:right w:val="single" w:sz="4" w:space="0" w:color="auto"/>
      </w:pBdr>
      <w:shd w:val="clear" w:color="CC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21">
    <w:name w:val="xl221"/>
    <w:basedOn w:val="Normal"/>
    <w:rsid w:val="006036E6"/>
    <w:pPr>
      <w:pBdr>
        <w:left w:val="single" w:sz="4" w:space="0" w:color="auto"/>
        <w:bottom w:val="single" w:sz="4" w:space="0" w:color="auto"/>
      </w:pBdr>
      <w:shd w:val="clear" w:color="CC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22">
    <w:name w:val="xl222"/>
    <w:basedOn w:val="Normal"/>
    <w:rsid w:val="006036E6"/>
    <w:pPr>
      <w:pBdr>
        <w:bottom w:val="single" w:sz="4" w:space="0" w:color="auto"/>
      </w:pBdr>
      <w:shd w:val="clear" w:color="CC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23">
    <w:name w:val="xl223"/>
    <w:basedOn w:val="Normal"/>
    <w:rsid w:val="006036E6"/>
    <w:pPr>
      <w:pBdr>
        <w:bottom w:val="single" w:sz="4" w:space="0" w:color="auto"/>
        <w:right w:val="single" w:sz="4" w:space="0" w:color="auto"/>
      </w:pBdr>
      <w:shd w:val="clear" w:color="CC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24">
    <w:name w:val="xl224"/>
    <w:basedOn w:val="Normal"/>
    <w:rsid w:val="006036E6"/>
    <w:pPr>
      <w:pBdr>
        <w:top w:val="single" w:sz="4" w:space="0" w:color="auto"/>
        <w:left w:val="single" w:sz="4" w:space="0" w:color="000000"/>
      </w:pBdr>
      <w:shd w:val="clear" w:color="CCFFFF" w:fill="DDEBF7"/>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25">
    <w:name w:val="xl225"/>
    <w:basedOn w:val="Normal"/>
    <w:rsid w:val="006036E6"/>
    <w:pPr>
      <w:pBdr>
        <w:top w:val="single" w:sz="4" w:space="0" w:color="auto"/>
      </w:pBdr>
      <w:shd w:val="clear" w:color="CCFFFF" w:fill="DDEBF7"/>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26">
    <w:name w:val="xl226"/>
    <w:basedOn w:val="Normal"/>
    <w:rsid w:val="006036E6"/>
    <w:pPr>
      <w:pBdr>
        <w:left w:val="single" w:sz="4" w:space="0" w:color="000000"/>
      </w:pBdr>
      <w:shd w:val="clear" w:color="CCFFFF" w:fill="DDEBF7"/>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27">
    <w:name w:val="xl227"/>
    <w:basedOn w:val="Normal"/>
    <w:rsid w:val="006036E6"/>
    <w:pPr>
      <w:shd w:val="clear" w:color="CCFFFF" w:fill="DDEBF7"/>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28">
    <w:name w:val="xl228"/>
    <w:basedOn w:val="Normal"/>
    <w:rsid w:val="006036E6"/>
    <w:pPr>
      <w:pBdr>
        <w:top w:val="single" w:sz="4" w:space="0" w:color="auto"/>
        <w:bottom w:val="single" w:sz="4" w:space="0" w:color="auto"/>
        <w:right w:val="single" w:sz="4" w:space="0" w:color="auto"/>
      </w:pBdr>
      <w:shd w:val="clear" w:color="FF99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29">
    <w:name w:val="xl229"/>
    <w:basedOn w:val="Normal"/>
    <w:rsid w:val="006036E6"/>
    <w:pPr>
      <w:pBdr>
        <w:top w:val="single" w:sz="4" w:space="0" w:color="auto"/>
        <w:left w:val="single" w:sz="4" w:space="0" w:color="auto"/>
        <w:bottom w:val="single" w:sz="4" w:space="0" w:color="auto"/>
        <w:right w:val="single" w:sz="4" w:space="0" w:color="auto"/>
      </w:pBdr>
      <w:shd w:val="clear" w:color="FF99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30">
    <w:name w:val="xl230"/>
    <w:basedOn w:val="Normal"/>
    <w:rsid w:val="006036E6"/>
    <w:pPr>
      <w:pBdr>
        <w:left w:val="single" w:sz="4" w:space="0" w:color="auto"/>
      </w:pBdr>
      <w:shd w:val="clear" w:color="CC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31">
    <w:name w:val="xl231"/>
    <w:basedOn w:val="Normal"/>
    <w:rsid w:val="006036E6"/>
    <w:pPr>
      <w:shd w:val="clear" w:color="CC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32">
    <w:name w:val="xl232"/>
    <w:basedOn w:val="Normal"/>
    <w:rsid w:val="006036E6"/>
    <w:pPr>
      <w:pBdr>
        <w:right w:val="single" w:sz="4" w:space="0" w:color="auto"/>
      </w:pBdr>
      <w:shd w:val="clear" w:color="CC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33">
    <w:name w:val="xl233"/>
    <w:basedOn w:val="Normal"/>
    <w:rsid w:val="006036E6"/>
    <w:pPr>
      <w:pBdr>
        <w:top w:val="single" w:sz="4" w:space="0" w:color="000000"/>
        <w:left w:val="single" w:sz="4" w:space="0" w:color="000000"/>
      </w:pBdr>
      <w:shd w:val="clear" w:color="FFFFFF" w:fill="DDEBF7"/>
      <w:spacing w:before="100" w:beforeAutospacing="1" w:after="100" w:afterAutospacing="1" w:line="240" w:lineRule="auto"/>
      <w:jc w:val="center"/>
      <w:textAlignment w:val="center"/>
    </w:pPr>
    <w:rPr>
      <w:rFonts w:ascii="Cambria" w:eastAsia="Times New Roman" w:hAnsi="Cambria" w:cs="Times New Roman"/>
      <w:b/>
      <w:bCs/>
      <w:i/>
      <w:iCs/>
      <w:sz w:val="20"/>
      <w:szCs w:val="20"/>
      <w:lang w:eastAsia="es-CR"/>
    </w:rPr>
  </w:style>
  <w:style w:type="paragraph" w:customStyle="1" w:styleId="xl234">
    <w:name w:val="xl234"/>
    <w:basedOn w:val="Normal"/>
    <w:rsid w:val="006036E6"/>
    <w:pPr>
      <w:pBdr>
        <w:left w:val="single" w:sz="4" w:space="0" w:color="000000"/>
      </w:pBdr>
      <w:shd w:val="clear" w:color="FFFFFF" w:fill="DDEBF7"/>
      <w:spacing w:before="100" w:beforeAutospacing="1" w:after="100" w:afterAutospacing="1" w:line="240" w:lineRule="auto"/>
      <w:jc w:val="center"/>
      <w:textAlignment w:val="center"/>
    </w:pPr>
    <w:rPr>
      <w:rFonts w:ascii="Cambria" w:eastAsia="Times New Roman" w:hAnsi="Cambria" w:cs="Times New Roman"/>
      <w:b/>
      <w:bCs/>
      <w:i/>
      <w:iCs/>
      <w:sz w:val="20"/>
      <w:szCs w:val="20"/>
      <w:lang w:eastAsia="es-CR"/>
    </w:rPr>
  </w:style>
  <w:style w:type="paragraph" w:customStyle="1" w:styleId="xl235">
    <w:name w:val="xl235"/>
    <w:basedOn w:val="Normal"/>
    <w:rsid w:val="006036E6"/>
    <w:pPr>
      <w:shd w:val="clear" w:color="C0C0C0" w:fill="1F4E78"/>
      <w:spacing w:before="100" w:beforeAutospacing="1" w:after="100" w:afterAutospacing="1" w:line="240" w:lineRule="auto"/>
      <w:jc w:val="center"/>
      <w:textAlignment w:val="center"/>
    </w:pPr>
    <w:rPr>
      <w:rFonts w:ascii="Cambria" w:eastAsia="Times New Roman" w:hAnsi="Cambria" w:cs="Times New Roman"/>
      <w:b/>
      <w:bCs/>
      <w:color w:val="FFFFFF"/>
      <w:sz w:val="32"/>
      <w:szCs w:val="32"/>
      <w:lang w:eastAsia="es-CR"/>
    </w:rPr>
  </w:style>
  <w:style w:type="paragraph" w:customStyle="1" w:styleId="xl236">
    <w:name w:val="xl236"/>
    <w:basedOn w:val="Normal"/>
    <w:rsid w:val="006036E6"/>
    <w:pPr>
      <w:pBdr>
        <w:left w:val="single" w:sz="4" w:space="0" w:color="000000"/>
      </w:pBdr>
      <w:shd w:val="clear" w:color="FFCC00" w:fill="DDEBF7"/>
      <w:spacing w:before="100" w:beforeAutospacing="1" w:after="100" w:afterAutospacing="1" w:line="240" w:lineRule="auto"/>
      <w:jc w:val="center"/>
      <w:textAlignment w:val="center"/>
    </w:pPr>
    <w:rPr>
      <w:rFonts w:ascii="Cambria" w:eastAsia="Times New Roman" w:hAnsi="Cambria" w:cs="Times New Roman"/>
      <w:b/>
      <w:bCs/>
      <w:color w:val="1F4E78"/>
      <w:sz w:val="24"/>
      <w:szCs w:val="24"/>
      <w:lang w:eastAsia="es-CR"/>
    </w:rPr>
  </w:style>
  <w:style w:type="paragraph" w:customStyle="1" w:styleId="xl237">
    <w:name w:val="xl237"/>
    <w:basedOn w:val="Normal"/>
    <w:rsid w:val="006036E6"/>
    <w:pPr>
      <w:shd w:val="clear" w:color="FFCC00" w:fill="DDEBF7"/>
      <w:spacing w:before="100" w:beforeAutospacing="1" w:after="100" w:afterAutospacing="1" w:line="240" w:lineRule="auto"/>
      <w:jc w:val="center"/>
      <w:textAlignment w:val="center"/>
    </w:pPr>
    <w:rPr>
      <w:rFonts w:ascii="Cambria" w:eastAsia="Times New Roman" w:hAnsi="Cambria" w:cs="Times New Roman"/>
      <w:b/>
      <w:bCs/>
      <w:color w:val="1F4E78"/>
      <w:sz w:val="24"/>
      <w:szCs w:val="24"/>
      <w:lang w:eastAsia="es-CR"/>
    </w:rPr>
  </w:style>
  <w:style w:type="paragraph" w:customStyle="1" w:styleId="xl238">
    <w:name w:val="xl238"/>
    <w:basedOn w:val="Normal"/>
    <w:rsid w:val="006036E6"/>
    <w:pPr>
      <w:pBdr>
        <w:top w:val="single" w:sz="4" w:space="0" w:color="auto"/>
        <w:left w:val="single" w:sz="4" w:space="0" w:color="auto"/>
        <w:bottom w:val="single" w:sz="4" w:space="0" w:color="auto"/>
        <w:right w:val="single" w:sz="4" w:space="0" w:color="auto"/>
      </w:pBdr>
      <w:shd w:val="clear" w:color="33CC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39">
    <w:name w:val="xl239"/>
    <w:basedOn w:val="Normal"/>
    <w:rsid w:val="006036E6"/>
    <w:pPr>
      <w:pBdr>
        <w:top w:val="single" w:sz="4" w:space="0" w:color="auto"/>
        <w:left w:val="single" w:sz="4" w:space="0" w:color="auto"/>
        <w:bottom w:val="single" w:sz="4" w:space="0" w:color="auto"/>
        <w:right w:val="single" w:sz="4" w:space="0" w:color="auto"/>
      </w:pBdr>
      <w:shd w:val="clear" w:color="33CC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40">
    <w:name w:val="xl240"/>
    <w:basedOn w:val="Normal"/>
    <w:rsid w:val="006036E6"/>
    <w:pPr>
      <w:pBdr>
        <w:top w:val="single" w:sz="4" w:space="0" w:color="auto"/>
        <w:left w:val="single" w:sz="4" w:space="0" w:color="auto"/>
        <w:bottom w:val="single" w:sz="4" w:space="0" w:color="auto"/>
        <w:right w:val="single" w:sz="4" w:space="0" w:color="auto"/>
      </w:pBdr>
      <w:shd w:val="clear" w:color="33CC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41">
    <w:name w:val="xl241"/>
    <w:basedOn w:val="Normal"/>
    <w:rsid w:val="006036E6"/>
    <w:pPr>
      <w:pBdr>
        <w:top w:val="single" w:sz="4" w:space="0" w:color="auto"/>
        <w:left w:val="single" w:sz="4" w:space="0" w:color="auto"/>
        <w:bottom w:val="single" w:sz="4" w:space="0" w:color="auto"/>
        <w:right w:val="single" w:sz="4" w:space="0" w:color="auto"/>
      </w:pBdr>
      <w:shd w:val="clear" w:color="33CCCC" w:fill="FFFFFF"/>
      <w:spacing w:before="100" w:beforeAutospacing="1" w:after="100" w:afterAutospacing="1" w:line="240" w:lineRule="auto"/>
      <w:jc w:val="center"/>
      <w:textAlignment w:val="center"/>
    </w:pPr>
    <w:rPr>
      <w:rFonts w:ascii="Cambria" w:eastAsia="Times New Roman" w:hAnsi="Cambria" w:cs="Times New Roman"/>
      <w:sz w:val="18"/>
      <w:szCs w:val="18"/>
      <w:lang w:eastAsia="es-CR"/>
    </w:rPr>
  </w:style>
  <w:style w:type="paragraph" w:customStyle="1" w:styleId="xl242">
    <w:name w:val="xl242"/>
    <w:basedOn w:val="Normal"/>
    <w:rsid w:val="006036E6"/>
    <w:pPr>
      <w:spacing w:before="100" w:beforeAutospacing="1" w:after="100" w:afterAutospacing="1" w:line="240" w:lineRule="auto"/>
      <w:jc w:val="center"/>
      <w:textAlignment w:val="center"/>
    </w:pPr>
    <w:rPr>
      <w:rFonts w:ascii="Cambria" w:eastAsia="Times New Roman" w:hAnsi="Cambria" w:cs="Times New Roman"/>
      <w:b/>
      <w:bCs/>
      <w:color w:val="1F4E78"/>
      <w:sz w:val="28"/>
      <w:szCs w:val="28"/>
      <w:lang w:eastAsia="es-CR"/>
    </w:rPr>
  </w:style>
  <w:style w:type="paragraph" w:customStyle="1" w:styleId="xl243">
    <w:name w:val="xl243"/>
    <w:basedOn w:val="Normal"/>
    <w:rsid w:val="006036E6"/>
    <w:pPr>
      <w:pBdr>
        <w:top w:val="single" w:sz="4" w:space="0" w:color="000000"/>
        <w:left w:val="single" w:sz="4" w:space="0" w:color="000000"/>
        <w:right w:val="single" w:sz="4" w:space="0" w:color="000000"/>
      </w:pBdr>
      <w:shd w:val="clear" w:color="FFFFFF" w:fill="DDEBF7"/>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44">
    <w:name w:val="xl244"/>
    <w:basedOn w:val="Normal"/>
    <w:rsid w:val="006036E6"/>
    <w:pPr>
      <w:pBdr>
        <w:left w:val="single" w:sz="4" w:space="0" w:color="000000"/>
        <w:bottom w:val="single" w:sz="4" w:space="0" w:color="000000"/>
        <w:right w:val="single" w:sz="4" w:space="0" w:color="000000"/>
      </w:pBdr>
      <w:shd w:val="clear" w:color="FFFFFF" w:fill="DDEBF7"/>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45">
    <w:name w:val="xl245"/>
    <w:basedOn w:val="Normal"/>
    <w:rsid w:val="006036E6"/>
    <w:pPr>
      <w:pBdr>
        <w:top w:val="single" w:sz="4" w:space="0" w:color="000000"/>
        <w:left w:val="single" w:sz="4" w:space="0" w:color="000000"/>
        <w:right w:val="single" w:sz="4" w:space="0" w:color="000000"/>
      </w:pBdr>
      <w:shd w:val="clear" w:color="CCCCFF"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46">
    <w:name w:val="xl246"/>
    <w:basedOn w:val="Normal"/>
    <w:rsid w:val="006036E6"/>
    <w:pPr>
      <w:pBdr>
        <w:left w:val="single" w:sz="4" w:space="0" w:color="000000"/>
        <w:right w:val="single" w:sz="4" w:space="0" w:color="000000"/>
      </w:pBdr>
      <w:shd w:val="clear" w:color="CCCCFF"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47">
    <w:name w:val="xl247"/>
    <w:basedOn w:val="Normal"/>
    <w:rsid w:val="006036E6"/>
    <w:pPr>
      <w:pBdr>
        <w:left w:val="single" w:sz="4" w:space="0" w:color="000000"/>
        <w:bottom w:val="single" w:sz="4" w:space="0" w:color="000000"/>
        <w:right w:val="single" w:sz="4" w:space="0" w:color="000000"/>
      </w:pBdr>
      <w:shd w:val="clear" w:color="CCCCFF"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48">
    <w:name w:val="xl248"/>
    <w:basedOn w:val="Normal"/>
    <w:rsid w:val="006036E6"/>
    <w:pPr>
      <w:pBdr>
        <w:top w:val="single" w:sz="4" w:space="0" w:color="000000"/>
        <w:left w:val="single" w:sz="4" w:space="0" w:color="000000"/>
        <w:right w:val="single" w:sz="4" w:space="0" w:color="000000"/>
      </w:pBdr>
      <w:shd w:val="clear" w:color="CCCCFF" w:fill="FFFFFF"/>
      <w:spacing w:before="100" w:beforeAutospacing="1" w:after="100" w:afterAutospacing="1" w:line="240" w:lineRule="auto"/>
      <w:jc w:val="center"/>
      <w:textAlignment w:val="center"/>
    </w:pPr>
    <w:rPr>
      <w:rFonts w:ascii="Cambria" w:eastAsia="Times New Roman" w:hAnsi="Cambria" w:cs="Times New Roman"/>
      <w:color w:val="000000"/>
      <w:sz w:val="20"/>
      <w:szCs w:val="20"/>
      <w:lang w:eastAsia="es-CR"/>
    </w:rPr>
  </w:style>
  <w:style w:type="paragraph" w:customStyle="1" w:styleId="xl249">
    <w:name w:val="xl249"/>
    <w:basedOn w:val="Normal"/>
    <w:rsid w:val="006036E6"/>
    <w:pPr>
      <w:pBdr>
        <w:top w:val="single" w:sz="4" w:space="0" w:color="000000"/>
        <w:left w:val="single" w:sz="4" w:space="0" w:color="000000"/>
        <w:bottom w:val="single" w:sz="4" w:space="0" w:color="000000"/>
      </w:pBdr>
      <w:shd w:val="clear" w:color="FF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50">
    <w:name w:val="xl250"/>
    <w:basedOn w:val="Normal"/>
    <w:rsid w:val="006036E6"/>
    <w:pPr>
      <w:pBdr>
        <w:top w:val="single" w:sz="4" w:space="0" w:color="000000"/>
        <w:left w:val="single" w:sz="4" w:space="0" w:color="000000"/>
      </w:pBdr>
      <w:shd w:val="clear" w:color="FF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51">
    <w:name w:val="xl251"/>
    <w:basedOn w:val="Normal"/>
    <w:rsid w:val="006036E6"/>
    <w:pPr>
      <w:pBdr>
        <w:top w:val="single" w:sz="4" w:space="0" w:color="000000"/>
        <w:left w:val="single" w:sz="4" w:space="0" w:color="000000"/>
        <w:bottom w:val="single" w:sz="4" w:space="0" w:color="000000"/>
        <w:right w:val="single" w:sz="4" w:space="0" w:color="000000"/>
      </w:pBdr>
      <w:shd w:val="clear" w:color="FF9900" w:fill="1F4E78"/>
      <w:spacing w:before="100" w:beforeAutospacing="1" w:after="100" w:afterAutospacing="1" w:line="240" w:lineRule="auto"/>
      <w:jc w:val="center"/>
      <w:textAlignment w:val="center"/>
    </w:pPr>
    <w:rPr>
      <w:rFonts w:ascii="Cambria" w:eastAsia="Times New Roman" w:hAnsi="Cambria" w:cs="Times New Roman"/>
      <w:b/>
      <w:bCs/>
      <w:color w:val="FFFFFF"/>
      <w:sz w:val="24"/>
      <w:szCs w:val="24"/>
      <w:lang w:eastAsia="es-CR"/>
    </w:rPr>
  </w:style>
  <w:style w:type="paragraph" w:customStyle="1" w:styleId="xl252">
    <w:name w:val="xl252"/>
    <w:basedOn w:val="Normal"/>
    <w:rsid w:val="006036E6"/>
    <w:pPr>
      <w:pBdr>
        <w:top w:val="single" w:sz="4" w:space="0" w:color="000000"/>
        <w:bottom w:val="single" w:sz="4" w:space="0" w:color="000000"/>
        <w:right w:val="single" w:sz="4" w:space="0" w:color="000000"/>
      </w:pBdr>
      <w:shd w:val="clear" w:color="33CCCC" w:fill="2F75B5"/>
      <w:spacing w:before="100" w:beforeAutospacing="1" w:after="100" w:afterAutospacing="1" w:line="240" w:lineRule="auto"/>
      <w:jc w:val="center"/>
      <w:textAlignment w:val="center"/>
    </w:pPr>
    <w:rPr>
      <w:rFonts w:ascii="Cambria" w:eastAsia="Times New Roman" w:hAnsi="Cambria" w:cs="Times New Roman"/>
      <w:b/>
      <w:bCs/>
      <w:color w:val="FFFFFF"/>
      <w:sz w:val="24"/>
      <w:szCs w:val="24"/>
      <w:lang w:eastAsia="es-CR"/>
    </w:rPr>
  </w:style>
  <w:style w:type="paragraph" w:customStyle="1" w:styleId="xl253">
    <w:name w:val="xl253"/>
    <w:basedOn w:val="Normal"/>
    <w:rsid w:val="006036E6"/>
    <w:pPr>
      <w:pBdr>
        <w:top w:val="single" w:sz="4" w:space="0" w:color="000000"/>
        <w:bottom w:val="single" w:sz="4" w:space="0" w:color="000000"/>
      </w:pBdr>
      <w:shd w:val="clear" w:color="33CCCC" w:fill="2F75B5"/>
      <w:spacing w:before="100" w:beforeAutospacing="1" w:after="100" w:afterAutospacing="1" w:line="240" w:lineRule="auto"/>
      <w:jc w:val="center"/>
      <w:textAlignment w:val="center"/>
    </w:pPr>
    <w:rPr>
      <w:rFonts w:ascii="Cambria" w:eastAsia="Times New Roman" w:hAnsi="Cambria" w:cs="Times New Roman"/>
      <w:b/>
      <w:bCs/>
      <w:color w:val="FFFFFF"/>
      <w:sz w:val="24"/>
      <w:szCs w:val="24"/>
      <w:lang w:eastAsia="es-CR"/>
    </w:rPr>
  </w:style>
  <w:style w:type="paragraph" w:customStyle="1" w:styleId="xl254">
    <w:name w:val="xl254"/>
    <w:basedOn w:val="Normal"/>
    <w:rsid w:val="006036E6"/>
    <w:pPr>
      <w:pBdr>
        <w:top w:val="single" w:sz="4" w:space="0" w:color="000000"/>
        <w:lef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55">
    <w:name w:val="xl255"/>
    <w:basedOn w:val="Normal"/>
    <w:rsid w:val="006036E6"/>
    <w:pPr>
      <w:pBdr>
        <w:lef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56">
    <w:name w:val="xl256"/>
    <w:basedOn w:val="Normal"/>
    <w:rsid w:val="006036E6"/>
    <w:pPr>
      <w:pBdr>
        <w:left w:val="single" w:sz="4" w:space="0" w:color="000000"/>
        <w:righ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57">
    <w:name w:val="xl257"/>
    <w:basedOn w:val="Normal"/>
    <w:rsid w:val="006036E6"/>
    <w:pPr>
      <w:pBdr>
        <w:top w:val="single" w:sz="4" w:space="0" w:color="auto"/>
        <w:left w:val="single" w:sz="4" w:space="0" w:color="000000"/>
        <w:righ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58">
    <w:name w:val="xl258"/>
    <w:basedOn w:val="Normal"/>
    <w:rsid w:val="006036E6"/>
    <w:pPr>
      <w:pBdr>
        <w:left w:val="single" w:sz="4" w:space="0" w:color="000000"/>
        <w:bottom w:val="single" w:sz="4" w:space="0" w:color="000000"/>
        <w:righ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59">
    <w:name w:val="xl259"/>
    <w:basedOn w:val="Normal"/>
    <w:rsid w:val="006036E6"/>
    <w:pPr>
      <w:pBdr>
        <w:top w:val="single" w:sz="4" w:space="0" w:color="000000"/>
        <w:left w:val="single" w:sz="4" w:space="0" w:color="000000"/>
        <w:right w:val="single" w:sz="4" w:space="0" w:color="000000"/>
      </w:pBdr>
      <w:shd w:val="clear" w:color="33CCCC"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60">
    <w:name w:val="xl260"/>
    <w:basedOn w:val="Normal"/>
    <w:rsid w:val="006036E6"/>
    <w:pPr>
      <w:pBdr>
        <w:bottom w:val="single" w:sz="4" w:space="0" w:color="000000"/>
        <w:right w:val="single" w:sz="8" w:space="0" w:color="000000"/>
      </w:pBdr>
      <w:shd w:val="clear" w:color="0066CC" w:fill="1F4E78"/>
      <w:spacing w:before="100" w:beforeAutospacing="1" w:after="100" w:afterAutospacing="1" w:line="240" w:lineRule="auto"/>
      <w:jc w:val="center"/>
    </w:pPr>
    <w:rPr>
      <w:rFonts w:ascii="Cambria" w:eastAsia="Times New Roman" w:hAnsi="Cambria" w:cs="Times New Roman"/>
      <w:b/>
      <w:bCs/>
      <w:color w:val="FFFFFF"/>
      <w:sz w:val="20"/>
      <w:szCs w:val="20"/>
      <w:lang w:eastAsia="es-CR"/>
    </w:rPr>
  </w:style>
  <w:style w:type="paragraph" w:customStyle="1" w:styleId="xl261">
    <w:name w:val="xl261"/>
    <w:basedOn w:val="Normal"/>
    <w:rsid w:val="006036E6"/>
    <w:pPr>
      <w:pBdr>
        <w:left w:val="single" w:sz="8" w:space="0" w:color="000000"/>
        <w:bottom w:val="single" w:sz="4" w:space="0" w:color="000000"/>
      </w:pBdr>
      <w:shd w:val="clear" w:color="0066CC" w:fill="1F4E78"/>
      <w:spacing w:before="100" w:beforeAutospacing="1" w:after="100" w:afterAutospacing="1" w:line="240" w:lineRule="auto"/>
      <w:jc w:val="center"/>
      <w:textAlignment w:val="center"/>
    </w:pPr>
    <w:rPr>
      <w:rFonts w:ascii="Cambria" w:eastAsia="Times New Roman" w:hAnsi="Cambria" w:cs="Times New Roman"/>
      <w:b/>
      <w:bCs/>
      <w:color w:val="FFFFFF"/>
      <w:sz w:val="20"/>
      <w:szCs w:val="20"/>
      <w:lang w:eastAsia="es-CR"/>
    </w:rPr>
  </w:style>
  <w:style w:type="paragraph" w:customStyle="1" w:styleId="xl262">
    <w:name w:val="xl262"/>
    <w:basedOn w:val="Normal"/>
    <w:rsid w:val="006036E6"/>
    <w:pPr>
      <w:pBdr>
        <w:top w:val="single" w:sz="4" w:space="0" w:color="000000"/>
        <w:left w:val="single" w:sz="8" w:space="0" w:color="000000"/>
        <w:bottom w:val="single" w:sz="4" w:space="0" w:color="000000"/>
        <w:right w:val="single" w:sz="4" w:space="0" w:color="000000"/>
      </w:pBdr>
      <w:shd w:val="clear" w:color="993300" w:fill="FF0000"/>
      <w:spacing w:before="100" w:beforeAutospacing="1" w:after="100" w:afterAutospacing="1" w:line="240" w:lineRule="auto"/>
      <w:jc w:val="center"/>
      <w:textAlignment w:val="center"/>
    </w:pPr>
    <w:rPr>
      <w:rFonts w:ascii="Cambria" w:eastAsia="Times New Roman" w:hAnsi="Cambria" w:cs="Times New Roman"/>
      <w:b/>
      <w:bCs/>
      <w:color w:val="FFFFFF"/>
      <w:sz w:val="20"/>
      <w:szCs w:val="20"/>
      <w:lang w:eastAsia="es-CR"/>
    </w:rPr>
  </w:style>
  <w:style w:type="paragraph" w:customStyle="1" w:styleId="xl263">
    <w:name w:val="xl263"/>
    <w:basedOn w:val="Normal"/>
    <w:rsid w:val="006036E6"/>
    <w:pPr>
      <w:pBdr>
        <w:top w:val="single" w:sz="4" w:space="0" w:color="000000"/>
        <w:left w:val="single" w:sz="4" w:space="0" w:color="000000"/>
        <w:bottom w:val="single" w:sz="4" w:space="0" w:color="000000"/>
        <w:right w:val="single" w:sz="4" w:space="0" w:color="000000"/>
      </w:pBdr>
      <w:shd w:val="clear" w:color="FFFF00" w:fill="FFCC00"/>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64">
    <w:name w:val="xl264"/>
    <w:basedOn w:val="Normal"/>
    <w:rsid w:val="006036E6"/>
    <w:pPr>
      <w:pBdr>
        <w:top w:val="single" w:sz="4" w:space="0" w:color="000000"/>
        <w:left w:val="single" w:sz="4" w:space="0" w:color="000000"/>
        <w:right w:val="single" w:sz="4" w:space="0" w:color="000000"/>
      </w:pBdr>
      <w:shd w:val="clear" w:color="008080" w:fill="008000"/>
      <w:spacing w:before="100" w:beforeAutospacing="1" w:after="100" w:afterAutospacing="1" w:line="240" w:lineRule="auto"/>
      <w:jc w:val="center"/>
      <w:textAlignment w:val="center"/>
    </w:pPr>
    <w:rPr>
      <w:rFonts w:ascii="Cambria" w:eastAsia="Times New Roman" w:hAnsi="Cambria" w:cs="Times New Roman"/>
      <w:b/>
      <w:bCs/>
      <w:color w:val="FFFFFF"/>
      <w:sz w:val="20"/>
      <w:szCs w:val="20"/>
      <w:lang w:eastAsia="es-CR"/>
    </w:rPr>
  </w:style>
  <w:style w:type="paragraph" w:customStyle="1" w:styleId="xl265">
    <w:name w:val="xl265"/>
    <w:basedOn w:val="Normal"/>
    <w:rsid w:val="006036E6"/>
    <w:pPr>
      <w:pBdr>
        <w:top w:val="single" w:sz="4" w:space="0" w:color="auto"/>
        <w:left w:val="single" w:sz="4" w:space="0" w:color="auto"/>
        <w:right w:val="single" w:sz="4" w:space="0" w:color="auto"/>
      </w:pBdr>
      <w:shd w:val="clear" w:color="FF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66">
    <w:name w:val="xl266"/>
    <w:basedOn w:val="Normal"/>
    <w:rsid w:val="006036E6"/>
    <w:pPr>
      <w:pBdr>
        <w:left w:val="single" w:sz="4" w:space="0" w:color="auto"/>
        <w:right w:val="single" w:sz="4" w:space="0" w:color="auto"/>
      </w:pBdr>
      <w:shd w:val="clear" w:color="FF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67">
    <w:name w:val="xl267"/>
    <w:basedOn w:val="Normal"/>
    <w:rsid w:val="006036E6"/>
    <w:pPr>
      <w:pBdr>
        <w:left w:val="single" w:sz="4" w:space="0" w:color="auto"/>
        <w:bottom w:val="single" w:sz="4" w:space="0" w:color="000000"/>
        <w:right w:val="single" w:sz="4" w:space="0" w:color="auto"/>
      </w:pBdr>
      <w:shd w:val="clear" w:color="FF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68">
    <w:name w:val="xl268"/>
    <w:basedOn w:val="Normal"/>
    <w:rsid w:val="006036E6"/>
    <w:pPr>
      <w:pBdr>
        <w:top w:val="single" w:sz="4" w:space="0" w:color="000000"/>
        <w:left w:val="single" w:sz="4" w:space="0" w:color="auto"/>
        <w:right w:val="single" w:sz="4" w:space="0" w:color="auto"/>
      </w:pBdr>
      <w:shd w:val="clear" w:color="FF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69">
    <w:name w:val="xl269"/>
    <w:basedOn w:val="Normal"/>
    <w:rsid w:val="006036E6"/>
    <w:pPr>
      <w:pBdr>
        <w:left w:val="single" w:sz="4" w:space="0" w:color="auto"/>
        <w:bottom w:val="single" w:sz="4" w:space="0" w:color="auto"/>
        <w:right w:val="single" w:sz="4" w:space="0" w:color="auto"/>
      </w:pBdr>
      <w:shd w:val="clear" w:color="FF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70">
    <w:name w:val="xl270"/>
    <w:basedOn w:val="Normal"/>
    <w:rsid w:val="006036E6"/>
    <w:pPr>
      <w:pBdr>
        <w:top w:val="single" w:sz="4" w:space="0" w:color="000000"/>
      </w:pBdr>
      <w:shd w:val="clear" w:color="CCCCFF" w:fill="1F4E78"/>
      <w:spacing w:before="100" w:beforeAutospacing="1" w:after="100" w:afterAutospacing="1" w:line="240" w:lineRule="auto"/>
      <w:jc w:val="center"/>
      <w:textAlignment w:val="center"/>
    </w:pPr>
    <w:rPr>
      <w:rFonts w:ascii="Cambria" w:eastAsia="Times New Roman" w:hAnsi="Cambria" w:cs="Times New Roman"/>
      <w:b/>
      <w:bCs/>
      <w:color w:val="FFFFFF"/>
      <w:sz w:val="24"/>
      <w:szCs w:val="24"/>
      <w:lang w:eastAsia="es-CR"/>
    </w:rPr>
  </w:style>
  <w:style w:type="paragraph" w:customStyle="1" w:styleId="xl271">
    <w:name w:val="xl271"/>
    <w:basedOn w:val="Normal"/>
    <w:rsid w:val="006036E6"/>
    <w:pPr>
      <w:shd w:val="clear" w:color="CCCCFF" w:fill="1F4E78"/>
      <w:spacing w:before="100" w:beforeAutospacing="1" w:after="100" w:afterAutospacing="1" w:line="240" w:lineRule="auto"/>
      <w:jc w:val="center"/>
      <w:textAlignment w:val="center"/>
    </w:pPr>
    <w:rPr>
      <w:rFonts w:ascii="Cambria" w:eastAsia="Times New Roman" w:hAnsi="Cambria" w:cs="Times New Roman"/>
      <w:b/>
      <w:bCs/>
      <w:color w:val="FFFFFF"/>
      <w:sz w:val="24"/>
      <w:szCs w:val="24"/>
      <w:lang w:eastAsia="es-CR"/>
    </w:rPr>
  </w:style>
  <w:style w:type="paragraph" w:customStyle="1" w:styleId="xl272">
    <w:name w:val="xl272"/>
    <w:basedOn w:val="Normal"/>
    <w:rsid w:val="006036E6"/>
    <w:pPr>
      <w:pBdr>
        <w:top w:val="single" w:sz="4" w:space="0" w:color="auto"/>
        <w:left w:val="single" w:sz="4" w:space="0" w:color="auto"/>
        <w:bottom w:val="single" w:sz="4" w:space="0" w:color="auto"/>
        <w:right w:val="single" w:sz="4" w:space="0" w:color="auto"/>
      </w:pBdr>
      <w:shd w:val="clear" w:color="CCCCFF"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73">
    <w:name w:val="xl273"/>
    <w:basedOn w:val="Normal"/>
    <w:rsid w:val="006036E6"/>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line="240" w:lineRule="auto"/>
      <w:jc w:val="right"/>
      <w:textAlignment w:val="center"/>
    </w:pPr>
    <w:rPr>
      <w:rFonts w:ascii="Cambria" w:eastAsia="Times New Roman" w:hAnsi="Cambria" w:cs="Times New Roman"/>
      <w:i/>
      <w:iCs/>
      <w:sz w:val="20"/>
      <w:szCs w:val="20"/>
      <w:lang w:eastAsia="es-CR"/>
    </w:rPr>
  </w:style>
  <w:style w:type="paragraph" w:customStyle="1" w:styleId="xl274">
    <w:name w:val="xl274"/>
    <w:basedOn w:val="Normal"/>
    <w:rsid w:val="006036E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75">
    <w:name w:val="xl275"/>
    <w:basedOn w:val="Normal"/>
    <w:rsid w:val="006036E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76">
    <w:name w:val="xl276"/>
    <w:basedOn w:val="Normal"/>
    <w:rsid w:val="006036E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277">
    <w:name w:val="xl277"/>
    <w:basedOn w:val="Normal"/>
    <w:rsid w:val="006036E6"/>
    <w:pPr>
      <w:pBdr>
        <w:top w:val="single" w:sz="4" w:space="0" w:color="000000"/>
        <w:left w:val="single" w:sz="4" w:space="0" w:color="000000"/>
        <w:bottom w:val="single" w:sz="4" w:space="0" w:color="000000"/>
        <w:right w:val="single" w:sz="4" w:space="0" w:color="000000"/>
      </w:pBdr>
      <w:shd w:val="clear" w:color="CCCCFF" w:fill="FFF2CC"/>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78">
    <w:name w:val="xl278"/>
    <w:basedOn w:val="Normal"/>
    <w:rsid w:val="006036E6"/>
    <w:pPr>
      <w:pBdr>
        <w:top w:val="single" w:sz="4" w:space="0" w:color="000000"/>
        <w:left w:val="single" w:sz="4" w:space="0" w:color="000000"/>
        <w:bottom w:val="single" w:sz="4" w:space="0" w:color="000000"/>
        <w:right w:val="single" w:sz="4" w:space="0" w:color="000000"/>
      </w:pBdr>
      <w:shd w:val="clear" w:color="CCCCFF" w:fill="FFF2CC"/>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79">
    <w:name w:val="xl279"/>
    <w:basedOn w:val="Normal"/>
    <w:rsid w:val="006036E6"/>
    <w:pPr>
      <w:pBdr>
        <w:top w:val="single" w:sz="4" w:space="0" w:color="000000"/>
        <w:left w:val="single" w:sz="4" w:space="0" w:color="000000"/>
        <w:bottom w:val="single" w:sz="4" w:space="0" w:color="000000"/>
        <w:right w:val="single" w:sz="4" w:space="0" w:color="000000"/>
      </w:pBdr>
      <w:shd w:val="clear" w:color="CCCCFF" w:fill="FFF2CC"/>
      <w:spacing w:before="100" w:beforeAutospacing="1" w:after="100" w:afterAutospacing="1" w:line="240" w:lineRule="auto"/>
      <w:textAlignment w:val="center"/>
    </w:pPr>
    <w:rPr>
      <w:rFonts w:ascii="Cambria" w:eastAsia="Times New Roman" w:hAnsi="Cambria" w:cs="Times New Roman"/>
      <w:sz w:val="18"/>
      <w:szCs w:val="18"/>
      <w:lang w:eastAsia="es-CR"/>
    </w:rPr>
  </w:style>
  <w:style w:type="paragraph" w:customStyle="1" w:styleId="xl280">
    <w:name w:val="xl280"/>
    <w:basedOn w:val="Normal"/>
    <w:rsid w:val="006036E6"/>
    <w:pPr>
      <w:shd w:val="clear" w:color="C0C0C0" w:fill="1F4E78"/>
      <w:spacing w:before="100" w:beforeAutospacing="1" w:after="100" w:afterAutospacing="1" w:line="240" w:lineRule="auto"/>
      <w:textAlignment w:val="center"/>
    </w:pPr>
    <w:rPr>
      <w:rFonts w:ascii="Cambria" w:eastAsia="Times New Roman" w:hAnsi="Cambria" w:cs="Times New Roman"/>
      <w:b/>
      <w:bCs/>
      <w:color w:val="FFFFFF"/>
      <w:sz w:val="32"/>
      <w:szCs w:val="32"/>
      <w:lang w:eastAsia="es-CR"/>
    </w:rPr>
  </w:style>
  <w:style w:type="paragraph" w:customStyle="1" w:styleId="font8">
    <w:name w:val="font8"/>
    <w:basedOn w:val="Normal"/>
    <w:rsid w:val="006036E6"/>
    <w:pPr>
      <w:spacing w:before="100" w:beforeAutospacing="1" w:after="100" w:afterAutospacing="1" w:line="240" w:lineRule="auto"/>
    </w:pPr>
    <w:rPr>
      <w:rFonts w:ascii="Cambria" w:eastAsia="Times New Roman" w:hAnsi="Cambria" w:cs="Times New Roman"/>
      <w:color w:val="FF0000"/>
      <w:sz w:val="18"/>
      <w:szCs w:val="18"/>
      <w:lang w:eastAsia="es-CR"/>
    </w:rPr>
  </w:style>
  <w:style w:type="paragraph" w:customStyle="1" w:styleId="xl281">
    <w:name w:val="xl281"/>
    <w:basedOn w:val="Normal"/>
    <w:rsid w:val="006036E6"/>
    <w:pPr>
      <w:pBdr>
        <w:top w:val="single" w:sz="4" w:space="0" w:color="auto"/>
        <w:left w:val="single" w:sz="4" w:space="0" w:color="auto"/>
        <w:right w:val="single" w:sz="4" w:space="0" w:color="auto"/>
      </w:pBdr>
      <w:shd w:val="clear" w:color="33CC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82">
    <w:name w:val="xl282"/>
    <w:basedOn w:val="Normal"/>
    <w:rsid w:val="006036E6"/>
    <w:pPr>
      <w:pBdr>
        <w:left w:val="single" w:sz="4" w:space="0" w:color="auto"/>
        <w:bottom w:val="single" w:sz="4" w:space="0" w:color="auto"/>
        <w:right w:val="single" w:sz="4" w:space="0" w:color="auto"/>
      </w:pBdr>
      <w:shd w:val="clear" w:color="33CC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83">
    <w:name w:val="xl283"/>
    <w:basedOn w:val="Normal"/>
    <w:rsid w:val="006036E6"/>
    <w:pPr>
      <w:pBdr>
        <w:top w:val="single" w:sz="4" w:space="0" w:color="auto"/>
        <w:left w:val="single" w:sz="4" w:space="0" w:color="auto"/>
        <w:right w:val="single" w:sz="4" w:space="0" w:color="auto"/>
      </w:pBdr>
      <w:shd w:val="clear" w:color="33CC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84">
    <w:name w:val="xl284"/>
    <w:basedOn w:val="Normal"/>
    <w:rsid w:val="006036E6"/>
    <w:pPr>
      <w:pBdr>
        <w:left w:val="single" w:sz="4" w:space="0" w:color="auto"/>
        <w:bottom w:val="single" w:sz="4" w:space="0" w:color="auto"/>
        <w:right w:val="single" w:sz="4" w:space="0" w:color="auto"/>
      </w:pBdr>
      <w:shd w:val="clear" w:color="33CC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85">
    <w:name w:val="xl285"/>
    <w:basedOn w:val="Normal"/>
    <w:rsid w:val="006036E6"/>
    <w:pPr>
      <w:pBdr>
        <w:top w:val="single" w:sz="4" w:space="0" w:color="auto"/>
        <w:left w:val="single" w:sz="4" w:space="0" w:color="auto"/>
        <w:right w:val="single" w:sz="4" w:space="0" w:color="auto"/>
      </w:pBdr>
      <w:shd w:val="clear" w:color="33CCCC" w:fill="FFFFFF"/>
      <w:spacing w:before="100" w:beforeAutospacing="1" w:after="100" w:afterAutospacing="1" w:line="240" w:lineRule="auto"/>
      <w:jc w:val="center"/>
      <w:textAlignment w:val="center"/>
    </w:pPr>
    <w:rPr>
      <w:rFonts w:ascii="Cambria" w:eastAsia="Times New Roman" w:hAnsi="Cambria" w:cs="Times New Roman"/>
      <w:sz w:val="18"/>
      <w:szCs w:val="18"/>
      <w:lang w:eastAsia="es-CR"/>
    </w:rPr>
  </w:style>
  <w:style w:type="paragraph" w:customStyle="1" w:styleId="xl286">
    <w:name w:val="xl286"/>
    <w:basedOn w:val="Normal"/>
    <w:rsid w:val="006036E6"/>
    <w:pPr>
      <w:pBdr>
        <w:left w:val="single" w:sz="4" w:space="0" w:color="auto"/>
        <w:bottom w:val="single" w:sz="4" w:space="0" w:color="auto"/>
        <w:right w:val="single" w:sz="4" w:space="0" w:color="auto"/>
      </w:pBdr>
      <w:shd w:val="clear" w:color="33CCCC" w:fill="FFFFFF"/>
      <w:spacing w:before="100" w:beforeAutospacing="1" w:after="100" w:afterAutospacing="1" w:line="240" w:lineRule="auto"/>
      <w:jc w:val="center"/>
      <w:textAlignment w:val="center"/>
    </w:pPr>
    <w:rPr>
      <w:rFonts w:ascii="Cambria" w:eastAsia="Times New Roman" w:hAnsi="Cambria" w:cs="Times New Roman"/>
      <w:sz w:val="18"/>
      <w:szCs w:val="18"/>
      <w:lang w:eastAsia="es-CR"/>
    </w:rPr>
  </w:style>
  <w:style w:type="paragraph" w:customStyle="1" w:styleId="xl287">
    <w:name w:val="xl287"/>
    <w:basedOn w:val="Normal"/>
    <w:rsid w:val="006036E6"/>
    <w:pPr>
      <w:pBdr>
        <w:top w:val="single" w:sz="4" w:space="0" w:color="auto"/>
        <w:left w:val="single" w:sz="4" w:space="0" w:color="auto"/>
        <w:right w:val="single" w:sz="4" w:space="0" w:color="auto"/>
      </w:pBdr>
      <w:shd w:val="clear" w:color="33CC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88">
    <w:name w:val="xl288"/>
    <w:basedOn w:val="Normal"/>
    <w:rsid w:val="006036E6"/>
    <w:pPr>
      <w:pBdr>
        <w:left w:val="single" w:sz="4" w:space="0" w:color="auto"/>
        <w:bottom w:val="single" w:sz="4" w:space="0" w:color="auto"/>
        <w:right w:val="single" w:sz="4" w:space="0" w:color="auto"/>
      </w:pBdr>
      <w:shd w:val="clear" w:color="33CCCC"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89">
    <w:name w:val="xl289"/>
    <w:basedOn w:val="Normal"/>
    <w:rsid w:val="006036E6"/>
    <w:pPr>
      <w:pBdr>
        <w:left w:val="single" w:sz="4" w:space="0" w:color="000000"/>
        <w:right w:val="single" w:sz="4" w:space="0" w:color="000000"/>
      </w:pBdr>
      <w:shd w:val="clear" w:color="CCCCFF" w:fill="FFFFFF"/>
      <w:spacing w:before="100" w:beforeAutospacing="1" w:after="100" w:afterAutospacing="1" w:line="240" w:lineRule="auto"/>
      <w:jc w:val="center"/>
      <w:textAlignment w:val="center"/>
    </w:pPr>
    <w:rPr>
      <w:rFonts w:ascii="Cambria" w:eastAsia="Times New Roman" w:hAnsi="Cambria" w:cs="Times New Roman"/>
      <w:color w:val="000000"/>
      <w:sz w:val="20"/>
      <w:szCs w:val="20"/>
      <w:lang w:eastAsia="es-CR"/>
    </w:rPr>
  </w:style>
  <w:style w:type="paragraph" w:customStyle="1" w:styleId="xl290">
    <w:name w:val="xl290"/>
    <w:basedOn w:val="Normal"/>
    <w:rsid w:val="006036E6"/>
    <w:pPr>
      <w:pBdr>
        <w:left w:val="single" w:sz="4" w:space="0" w:color="000000"/>
        <w:bottom w:val="single" w:sz="4" w:space="0" w:color="000000"/>
        <w:right w:val="single" w:sz="4" w:space="0" w:color="000000"/>
      </w:pBdr>
      <w:shd w:val="clear" w:color="CCCCFF" w:fill="FFFFFF"/>
      <w:spacing w:before="100" w:beforeAutospacing="1" w:after="100" w:afterAutospacing="1" w:line="240" w:lineRule="auto"/>
      <w:jc w:val="center"/>
      <w:textAlignment w:val="center"/>
    </w:pPr>
    <w:rPr>
      <w:rFonts w:ascii="Cambria" w:eastAsia="Times New Roman" w:hAnsi="Cambria" w:cs="Times New Roman"/>
      <w:color w:val="000000"/>
      <w:sz w:val="20"/>
      <w:szCs w:val="20"/>
      <w:lang w:eastAsia="es-CR"/>
    </w:rPr>
  </w:style>
  <w:style w:type="paragraph" w:customStyle="1" w:styleId="xl291">
    <w:name w:val="xl291"/>
    <w:basedOn w:val="Normal"/>
    <w:rsid w:val="006036E6"/>
    <w:pPr>
      <w:pBdr>
        <w:top w:val="single" w:sz="4" w:space="0" w:color="000000"/>
        <w:left w:val="single" w:sz="4" w:space="0" w:color="000000"/>
        <w:right w:val="single" w:sz="4" w:space="0" w:color="auto"/>
      </w:pBdr>
      <w:shd w:val="clear" w:color="FF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92">
    <w:name w:val="xl292"/>
    <w:basedOn w:val="Normal"/>
    <w:rsid w:val="006036E6"/>
    <w:pPr>
      <w:pBdr>
        <w:left w:val="single" w:sz="4" w:space="0" w:color="000000"/>
        <w:bottom w:val="single" w:sz="4" w:space="0" w:color="000000"/>
        <w:right w:val="single" w:sz="4" w:space="0" w:color="auto"/>
      </w:pBdr>
      <w:shd w:val="clear" w:color="FFFFFF" w:fill="BDD7EE"/>
      <w:spacing w:before="100" w:beforeAutospacing="1" w:after="100" w:afterAutospacing="1" w:line="240" w:lineRule="auto"/>
      <w:jc w:val="center"/>
      <w:textAlignment w:val="center"/>
    </w:pPr>
    <w:rPr>
      <w:rFonts w:ascii="Cambria" w:eastAsia="Times New Roman" w:hAnsi="Cambria" w:cs="Times New Roman"/>
      <w:i/>
      <w:iCs/>
      <w:sz w:val="20"/>
      <w:szCs w:val="20"/>
      <w:lang w:eastAsia="es-CR"/>
    </w:rPr>
  </w:style>
  <w:style w:type="paragraph" w:customStyle="1" w:styleId="xl293">
    <w:name w:val="xl293"/>
    <w:basedOn w:val="Normal"/>
    <w:rsid w:val="006036E6"/>
    <w:pPr>
      <w:pBdr>
        <w:top w:val="single" w:sz="4" w:space="0" w:color="auto"/>
        <w:left w:val="single" w:sz="4" w:space="0" w:color="auto"/>
        <w:right w:val="single" w:sz="4" w:space="0" w:color="auto"/>
      </w:pBdr>
      <w:shd w:val="clear" w:color="CCCCFF"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94">
    <w:name w:val="xl294"/>
    <w:basedOn w:val="Normal"/>
    <w:rsid w:val="006036E6"/>
    <w:pPr>
      <w:pBdr>
        <w:left w:val="single" w:sz="4" w:space="0" w:color="auto"/>
        <w:right w:val="single" w:sz="4" w:space="0" w:color="auto"/>
      </w:pBdr>
      <w:shd w:val="clear" w:color="CCCCFF" w:fill="FFFFFF"/>
      <w:spacing w:before="100" w:beforeAutospacing="1" w:after="100" w:afterAutospacing="1" w:line="240" w:lineRule="auto"/>
      <w:jc w:val="center"/>
      <w:textAlignment w:val="center"/>
    </w:pPr>
    <w:rPr>
      <w:rFonts w:ascii="Cambria" w:eastAsia="Times New Roman" w:hAnsi="Cambria" w:cs="Times New Roman"/>
      <w:b/>
      <w:bCs/>
      <w:sz w:val="20"/>
      <w:szCs w:val="20"/>
      <w:lang w:eastAsia="es-CR"/>
    </w:rPr>
  </w:style>
  <w:style w:type="paragraph" w:customStyle="1" w:styleId="xl295">
    <w:name w:val="xl295"/>
    <w:basedOn w:val="Normal"/>
    <w:rsid w:val="006036E6"/>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line="240" w:lineRule="auto"/>
      <w:jc w:val="right"/>
      <w:textAlignment w:val="center"/>
    </w:pPr>
    <w:rPr>
      <w:rFonts w:ascii="Cambria" w:eastAsia="Times New Roman" w:hAnsi="Cambria" w:cs="Times New Roman"/>
      <w:i/>
      <w:iCs/>
      <w:sz w:val="20"/>
      <w:szCs w:val="20"/>
      <w:lang w:eastAsia="es-CR"/>
    </w:rPr>
  </w:style>
  <w:style w:type="paragraph" w:customStyle="1" w:styleId="xl296">
    <w:name w:val="xl296"/>
    <w:basedOn w:val="Normal"/>
    <w:rsid w:val="006036E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97">
    <w:name w:val="xl297"/>
    <w:basedOn w:val="Normal"/>
    <w:rsid w:val="006036E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298">
    <w:name w:val="xl298"/>
    <w:basedOn w:val="Normal"/>
    <w:rsid w:val="006036E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Cambria" w:eastAsia="Times New Roman" w:hAnsi="Cambria" w:cs="Times New Roman"/>
      <w:sz w:val="20"/>
      <w:szCs w:val="20"/>
      <w:lang w:eastAsia="es-CR"/>
    </w:rPr>
  </w:style>
  <w:style w:type="paragraph" w:customStyle="1" w:styleId="xl299">
    <w:name w:val="xl299"/>
    <w:basedOn w:val="Normal"/>
    <w:rsid w:val="006036E6"/>
    <w:pPr>
      <w:pBdr>
        <w:top w:val="single" w:sz="4" w:space="0" w:color="000000"/>
        <w:left w:val="single" w:sz="4" w:space="0" w:color="000000"/>
        <w:bottom w:val="single" w:sz="4" w:space="0" w:color="000000"/>
        <w:right w:val="single" w:sz="4" w:space="0" w:color="000000"/>
      </w:pBdr>
      <w:shd w:val="clear" w:color="CCCCFF" w:fill="FFF2CC"/>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300">
    <w:name w:val="xl300"/>
    <w:basedOn w:val="Normal"/>
    <w:rsid w:val="006036E6"/>
    <w:pPr>
      <w:pBdr>
        <w:top w:val="single" w:sz="4" w:space="0" w:color="000000"/>
        <w:left w:val="single" w:sz="4" w:space="0" w:color="000000"/>
        <w:bottom w:val="single" w:sz="4" w:space="0" w:color="000000"/>
        <w:right w:val="single" w:sz="4" w:space="0" w:color="000000"/>
      </w:pBdr>
      <w:shd w:val="clear" w:color="CCCCFF" w:fill="FFF2CC"/>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301">
    <w:name w:val="xl301"/>
    <w:basedOn w:val="Normal"/>
    <w:rsid w:val="006036E6"/>
    <w:pPr>
      <w:pBdr>
        <w:top w:val="single" w:sz="4" w:space="0" w:color="000000"/>
        <w:left w:val="single" w:sz="4" w:space="0" w:color="000000"/>
        <w:bottom w:val="single" w:sz="4" w:space="0" w:color="000000"/>
        <w:right w:val="single" w:sz="4" w:space="0" w:color="000000"/>
      </w:pBdr>
      <w:shd w:val="clear" w:color="CCCCFF" w:fill="FFF2CC"/>
      <w:spacing w:before="100" w:beforeAutospacing="1" w:after="100" w:afterAutospacing="1" w:line="240" w:lineRule="auto"/>
      <w:textAlignment w:val="center"/>
    </w:pPr>
    <w:rPr>
      <w:rFonts w:ascii="Cambria" w:eastAsia="Times New Roman" w:hAnsi="Cambria" w:cs="Times New Roman"/>
      <w:sz w:val="18"/>
      <w:szCs w:val="18"/>
      <w:lang w:eastAsia="es-CR"/>
    </w:rPr>
  </w:style>
  <w:style w:type="paragraph" w:customStyle="1" w:styleId="xl302">
    <w:name w:val="xl302"/>
    <w:basedOn w:val="Normal"/>
    <w:rsid w:val="008F4DC6"/>
    <w:pPr>
      <w:pBdr>
        <w:top w:val="single" w:sz="4" w:space="0" w:color="000000"/>
        <w:left w:val="single" w:sz="4" w:space="0" w:color="000000"/>
        <w:bottom w:val="single" w:sz="4" w:space="0" w:color="000000"/>
      </w:pBdr>
      <w:shd w:val="clear" w:color="FFFFCC" w:fill="00000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303">
    <w:name w:val="xl303"/>
    <w:basedOn w:val="Normal"/>
    <w:rsid w:val="008F4DC6"/>
    <w:pPr>
      <w:pBdr>
        <w:top w:val="single" w:sz="4" w:space="0" w:color="auto"/>
        <w:left w:val="single" w:sz="4" w:space="0" w:color="auto"/>
        <w:bottom w:val="single" w:sz="4" w:space="0" w:color="auto"/>
        <w:right w:val="single" w:sz="4" w:space="0" w:color="auto"/>
      </w:pBdr>
      <w:shd w:val="clear" w:color="33CCCC" w:fill="00000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304">
    <w:name w:val="xl304"/>
    <w:basedOn w:val="Normal"/>
    <w:rsid w:val="008F4DC6"/>
    <w:pPr>
      <w:pBdr>
        <w:top w:val="single" w:sz="4" w:space="0" w:color="auto"/>
        <w:left w:val="single" w:sz="4" w:space="0" w:color="auto"/>
        <w:bottom w:val="single" w:sz="4" w:space="0" w:color="auto"/>
        <w:right w:val="single" w:sz="4" w:space="0" w:color="auto"/>
      </w:pBdr>
      <w:shd w:val="clear" w:color="33CCCC" w:fill="00000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305">
    <w:name w:val="xl305"/>
    <w:basedOn w:val="Normal"/>
    <w:rsid w:val="008F4DC6"/>
    <w:pPr>
      <w:pBdr>
        <w:top w:val="single" w:sz="4" w:space="0" w:color="auto"/>
        <w:left w:val="single" w:sz="4" w:space="0" w:color="auto"/>
        <w:bottom w:val="single" w:sz="4" w:space="0" w:color="auto"/>
        <w:right w:val="single" w:sz="4" w:space="0" w:color="auto"/>
      </w:pBdr>
      <w:shd w:val="clear" w:color="33CCCC" w:fill="00000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xl306">
    <w:name w:val="xl306"/>
    <w:basedOn w:val="Normal"/>
    <w:rsid w:val="008F4DC6"/>
    <w:pPr>
      <w:pBdr>
        <w:top w:val="single" w:sz="4" w:space="0" w:color="auto"/>
        <w:left w:val="single" w:sz="4" w:space="0" w:color="auto"/>
        <w:bottom w:val="single" w:sz="4" w:space="0" w:color="auto"/>
        <w:right w:val="single" w:sz="4" w:space="0" w:color="auto"/>
      </w:pBdr>
      <w:shd w:val="clear" w:color="33CCCC" w:fill="000000"/>
      <w:spacing w:before="100" w:beforeAutospacing="1" w:after="100" w:afterAutospacing="1" w:line="240" w:lineRule="auto"/>
      <w:jc w:val="center"/>
      <w:textAlignment w:val="center"/>
    </w:pPr>
    <w:rPr>
      <w:rFonts w:ascii="Cambria" w:eastAsia="Times New Roman" w:hAnsi="Cambria" w:cs="Times New Roman"/>
      <w:sz w:val="20"/>
      <w:szCs w:val="20"/>
      <w:lang w:eastAsia="es-CR"/>
    </w:rPr>
  </w:style>
  <w:style w:type="paragraph" w:customStyle="1" w:styleId="Prrafodelista2">
    <w:name w:val="Párrafo de lista2"/>
    <w:basedOn w:val="Normal"/>
    <w:qFormat/>
    <w:rsid w:val="009A2B72"/>
    <w:pPr>
      <w:spacing w:after="0" w:line="240" w:lineRule="auto"/>
      <w:ind w:left="720"/>
    </w:pPr>
    <w:rPr>
      <w:rFonts w:ascii="Times New Roman" w:eastAsia="Times New Roman" w:hAnsi="Times New Roman" w:cs="Times New Roman"/>
      <w:sz w:val="24"/>
      <w:szCs w:val="24"/>
      <w:lang w:val="es-ES" w:eastAsia="es-ES"/>
    </w:rPr>
  </w:style>
  <w:style w:type="character" w:styleId="nfasis">
    <w:name w:val="Emphasis"/>
    <w:basedOn w:val="Fuentedeprrafopredeter"/>
    <w:uiPriority w:val="20"/>
    <w:qFormat/>
    <w:rsid w:val="00494B8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28152">
      <w:bodyDiv w:val="1"/>
      <w:marLeft w:val="0"/>
      <w:marRight w:val="0"/>
      <w:marTop w:val="0"/>
      <w:marBottom w:val="0"/>
      <w:divBdr>
        <w:top w:val="none" w:sz="0" w:space="0" w:color="auto"/>
        <w:left w:val="none" w:sz="0" w:space="0" w:color="auto"/>
        <w:bottom w:val="none" w:sz="0" w:space="0" w:color="auto"/>
        <w:right w:val="none" w:sz="0" w:space="0" w:color="auto"/>
      </w:divBdr>
    </w:div>
    <w:div w:id="29454228">
      <w:bodyDiv w:val="1"/>
      <w:marLeft w:val="0"/>
      <w:marRight w:val="0"/>
      <w:marTop w:val="0"/>
      <w:marBottom w:val="0"/>
      <w:divBdr>
        <w:top w:val="none" w:sz="0" w:space="0" w:color="auto"/>
        <w:left w:val="none" w:sz="0" w:space="0" w:color="auto"/>
        <w:bottom w:val="none" w:sz="0" w:space="0" w:color="auto"/>
        <w:right w:val="none" w:sz="0" w:space="0" w:color="auto"/>
      </w:divBdr>
    </w:div>
    <w:div w:id="68895216">
      <w:bodyDiv w:val="1"/>
      <w:marLeft w:val="0"/>
      <w:marRight w:val="0"/>
      <w:marTop w:val="0"/>
      <w:marBottom w:val="0"/>
      <w:divBdr>
        <w:top w:val="none" w:sz="0" w:space="0" w:color="auto"/>
        <w:left w:val="none" w:sz="0" w:space="0" w:color="auto"/>
        <w:bottom w:val="none" w:sz="0" w:space="0" w:color="auto"/>
        <w:right w:val="none" w:sz="0" w:space="0" w:color="auto"/>
      </w:divBdr>
    </w:div>
    <w:div w:id="84544887">
      <w:bodyDiv w:val="1"/>
      <w:marLeft w:val="0"/>
      <w:marRight w:val="0"/>
      <w:marTop w:val="0"/>
      <w:marBottom w:val="0"/>
      <w:divBdr>
        <w:top w:val="none" w:sz="0" w:space="0" w:color="auto"/>
        <w:left w:val="none" w:sz="0" w:space="0" w:color="auto"/>
        <w:bottom w:val="none" w:sz="0" w:space="0" w:color="auto"/>
        <w:right w:val="none" w:sz="0" w:space="0" w:color="auto"/>
      </w:divBdr>
    </w:div>
    <w:div w:id="100885570">
      <w:bodyDiv w:val="1"/>
      <w:marLeft w:val="0"/>
      <w:marRight w:val="0"/>
      <w:marTop w:val="0"/>
      <w:marBottom w:val="0"/>
      <w:divBdr>
        <w:top w:val="none" w:sz="0" w:space="0" w:color="auto"/>
        <w:left w:val="none" w:sz="0" w:space="0" w:color="auto"/>
        <w:bottom w:val="none" w:sz="0" w:space="0" w:color="auto"/>
        <w:right w:val="none" w:sz="0" w:space="0" w:color="auto"/>
      </w:divBdr>
    </w:div>
    <w:div w:id="110630064">
      <w:bodyDiv w:val="1"/>
      <w:marLeft w:val="0"/>
      <w:marRight w:val="0"/>
      <w:marTop w:val="0"/>
      <w:marBottom w:val="0"/>
      <w:divBdr>
        <w:top w:val="none" w:sz="0" w:space="0" w:color="auto"/>
        <w:left w:val="none" w:sz="0" w:space="0" w:color="auto"/>
        <w:bottom w:val="none" w:sz="0" w:space="0" w:color="auto"/>
        <w:right w:val="none" w:sz="0" w:space="0" w:color="auto"/>
      </w:divBdr>
    </w:div>
    <w:div w:id="133378667">
      <w:bodyDiv w:val="1"/>
      <w:marLeft w:val="0"/>
      <w:marRight w:val="0"/>
      <w:marTop w:val="0"/>
      <w:marBottom w:val="0"/>
      <w:divBdr>
        <w:top w:val="none" w:sz="0" w:space="0" w:color="auto"/>
        <w:left w:val="none" w:sz="0" w:space="0" w:color="auto"/>
        <w:bottom w:val="none" w:sz="0" w:space="0" w:color="auto"/>
        <w:right w:val="none" w:sz="0" w:space="0" w:color="auto"/>
      </w:divBdr>
    </w:div>
    <w:div w:id="136999807">
      <w:bodyDiv w:val="1"/>
      <w:marLeft w:val="0"/>
      <w:marRight w:val="0"/>
      <w:marTop w:val="0"/>
      <w:marBottom w:val="0"/>
      <w:divBdr>
        <w:top w:val="none" w:sz="0" w:space="0" w:color="auto"/>
        <w:left w:val="none" w:sz="0" w:space="0" w:color="auto"/>
        <w:bottom w:val="none" w:sz="0" w:space="0" w:color="auto"/>
        <w:right w:val="none" w:sz="0" w:space="0" w:color="auto"/>
      </w:divBdr>
    </w:div>
    <w:div w:id="139855366">
      <w:bodyDiv w:val="1"/>
      <w:marLeft w:val="0"/>
      <w:marRight w:val="0"/>
      <w:marTop w:val="0"/>
      <w:marBottom w:val="0"/>
      <w:divBdr>
        <w:top w:val="none" w:sz="0" w:space="0" w:color="auto"/>
        <w:left w:val="none" w:sz="0" w:space="0" w:color="auto"/>
        <w:bottom w:val="none" w:sz="0" w:space="0" w:color="auto"/>
        <w:right w:val="none" w:sz="0" w:space="0" w:color="auto"/>
      </w:divBdr>
    </w:div>
    <w:div w:id="150830998">
      <w:bodyDiv w:val="1"/>
      <w:marLeft w:val="0"/>
      <w:marRight w:val="0"/>
      <w:marTop w:val="0"/>
      <w:marBottom w:val="0"/>
      <w:divBdr>
        <w:top w:val="none" w:sz="0" w:space="0" w:color="auto"/>
        <w:left w:val="none" w:sz="0" w:space="0" w:color="auto"/>
        <w:bottom w:val="none" w:sz="0" w:space="0" w:color="auto"/>
        <w:right w:val="none" w:sz="0" w:space="0" w:color="auto"/>
      </w:divBdr>
    </w:div>
    <w:div w:id="159197289">
      <w:bodyDiv w:val="1"/>
      <w:marLeft w:val="0"/>
      <w:marRight w:val="0"/>
      <w:marTop w:val="0"/>
      <w:marBottom w:val="0"/>
      <w:divBdr>
        <w:top w:val="none" w:sz="0" w:space="0" w:color="auto"/>
        <w:left w:val="none" w:sz="0" w:space="0" w:color="auto"/>
        <w:bottom w:val="none" w:sz="0" w:space="0" w:color="auto"/>
        <w:right w:val="none" w:sz="0" w:space="0" w:color="auto"/>
      </w:divBdr>
      <w:divsChild>
        <w:div w:id="637102428">
          <w:marLeft w:val="0"/>
          <w:marRight w:val="0"/>
          <w:marTop w:val="0"/>
          <w:marBottom w:val="0"/>
          <w:divBdr>
            <w:top w:val="none" w:sz="0" w:space="0" w:color="auto"/>
            <w:left w:val="none" w:sz="0" w:space="0" w:color="auto"/>
            <w:bottom w:val="none" w:sz="0" w:space="0" w:color="auto"/>
            <w:right w:val="none" w:sz="0" w:space="0" w:color="auto"/>
          </w:divBdr>
        </w:div>
      </w:divsChild>
    </w:div>
    <w:div w:id="160852618">
      <w:bodyDiv w:val="1"/>
      <w:marLeft w:val="0"/>
      <w:marRight w:val="0"/>
      <w:marTop w:val="0"/>
      <w:marBottom w:val="0"/>
      <w:divBdr>
        <w:top w:val="none" w:sz="0" w:space="0" w:color="auto"/>
        <w:left w:val="none" w:sz="0" w:space="0" w:color="auto"/>
        <w:bottom w:val="none" w:sz="0" w:space="0" w:color="auto"/>
        <w:right w:val="none" w:sz="0" w:space="0" w:color="auto"/>
      </w:divBdr>
    </w:div>
    <w:div w:id="161315612">
      <w:bodyDiv w:val="1"/>
      <w:marLeft w:val="0"/>
      <w:marRight w:val="0"/>
      <w:marTop w:val="0"/>
      <w:marBottom w:val="0"/>
      <w:divBdr>
        <w:top w:val="none" w:sz="0" w:space="0" w:color="auto"/>
        <w:left w:val="none" w:sz="0" w:space="0" w:color="auto"/>
        <w:bottom w:val="none" w:sz="0" w:space="0" w:color="auto"/>
        <w:right w:val="none" w:sz="0" w:space="0" w:color="auto"/>
      </w:divBdr>
    </w:div>
    <w:div w:id="182211641">
      <w:bodyDiv w:val="1"/>
      <w:marLeft w:val="0"/>
      <w:marRight w:val="0"/>
      <w:marTop w:val="0"/>
      <w:marBottom w:val="0"/>
      <w:divBdr>
        <w:top w:val="none" w:sz="0" w:space="0" w:color="auto"/>
        <w:left w:val="none" w:sz="0" w:space="0" w:color="auto"/>
        <w:bottom w:val="none" w:sz="0" w:space="0" w:color="auto"/>
        <w:right w:val="none" w:sz="0" w:space="0" w:color="auto"/>
      </w:divBdr>
    </w:div>
    <w:div w:id="189883905">
      <w:bodyDiv w:val="1"/>
      <w:marLeft w:val="0"/>
      <w:marRight w:val="0"/>
      <w:marTop w:val="0"/>
      <w:marBottom w:val="0"/>
      <w:divBdr>
        <w:top w:val="none" w:sz="0" w:space="0" w:color="auto"/>
        <w:left w:val="none" w:sz="0" w:space="0" w:color="auto"/>
        <w:bottom w:val="none" w:sz="0" w:space="0" w:color="auto"/>
        <w:right w:val="none" w:sz="0" w:space="0" w:color="auto"/>
      </w:divBdr>
    </w:div>
    <w:div w:id="207300785">
      <w:bodyDiv w:val="1"/>
      <w:marLeft w:val="0"/>
      <w:marRight w:val="0"/>
      <w:marTop w:val="0"/>
      <w:marBottom w:val="0"/>
      <w:divBdr>
        <w:top w:val="none" w:sz="0" w:space="0" w:color="auto"/>
        <w:left w:val="none" w:sz="0" w:space="0" w:color="auto"/>
        <w:bottom w:val="none" w:sz="0" w:space="0" w:color="auto"/>
        <w:right w:val="none" w:sz="0" w:space="0" w:color="auto"/>
      </w:divBdr>
    </w:div>
    <w:div w:id="225998915">
      <w:bodyDiv w:val="1"/>
      <w:marLeft w:val="0"/>
      <w:marRight w:val="0"/>
      <w:marTop w:val="0"/>
      <w:marBottom w:val="0"/>
      <w:divBdr>
        <w:top w:val="none" w:sz="0" w:space="0" w:color="auto"/>
        <w:left w:val="none" w:sz="0" w:space="0" w:color="auto"/>
        <w:bottom w:val="none" w:sz="0" w:space="0" w:color="auto"/>
        <w:right w:val="none" w:sz="0" w:space="0" w:color="auto"/>
      </w:divBdr>
    </w:div>
    <w:div w:id="229507144">
      <w:bodyDiv w:val="1"/>
      <w:marLeft w:val="0"/>
      <w:marRight w:val="0"/>
      <w:marTop w:val="0"/>
      <w:marBottom w:val="0"/>
      <w:divBdr>
        <w:top w:val="none" w:sz="0" w:space="0" w:color="auto"/>
        <w:left w:val="none" w:sz="0" w:space="0" w:color="auto"/>
        <w:bottom w:val="none" w:sz="0" w:space="0" w:color="auto"/>
        <w:right w:val="none" w:sz="0" w:space="0" w:color="auto"/>
      </w:divBdr>
    </w:div>
    <w:div w:id="244802758">
      <w:bodyDiv w:val="1"/>
      <w:marLeft w:val="0"/>
      <w:marRight w:val="0"/>
      <w:marTop w:val="0"/>
      <w:marBottom w:val="0"/>
      <w:divBdr>
        <w:top w:val="none" w:sz="0" w:space="0" w:color="auto"/>
        <w:left w:val="none" w:sz="0" w:space="0" w:color="auto"/>
        <w:bottom w:val="none" w:sz="0" w:space="0" w:color="auto"/>
        <w:right w:val="none" w:sz="0" w:space="0" w:color="auto"/>
      </w:divBdr>
    </w:div>
    <w:div w:id="261768280">
      <w:bodyDiv w:val="1"/>
      <w:marLeft w:val="0"/>
      <w:marRight w:val="0"/>
      <w:marTop w:val="0"/>
      <w:marBottom w:val="0"/>
      <w:divBdr>
        <w:top w:val="none" w:sz="0" w:space="0" w:color="auto"/>
        <w:left w:val="none" w:sz="0" w:space="0" w:color="auto"/>
        <w:bottom w:val="none" w:sz="0" w:space="0" w:color="auto"/>
        <w:right w:val="none" w:sz="0" w:space="0" w:color="auto"/>
      </w:divBdr>
    </w:div>
    <w:div w:id="262765193">
      <w:bodyDiv w:val="1"/>
      <w:marLeft w:val="0"/>
      <w:marRight w:val="0"/>
      <w:marTop w:val="0"/>
      <w:marBottom w:val="0"/>
      <w:divBdr>
        <w:top w:val="none" w:sz="0" w:space="0" w:color="auto"/>
        <w:left w:val="none" w:sz="0" w:space="0" w:color="auto"/>
        <w:bottom w:val="none" w:sz="0" w:space="0" w:color="auto"/>
        <w:right w:val="none" w:sz="0" w:space="0" w:color="auto"/>
      </w:divBdr>
    </w:div>
    <w:div w:id="279461097">
      <w:bodyDiv w:val="1"/>
      <w:marLeft w:val="0"/>
      <w:marRight w:val="0"/>
      <w:marTop w:val="0"/>
      <w:marBottom w:val="0"/>
      <w:divBdr>
        <w:top w:val="none" w:sz="0" w:space="0" w:color="auto"/>
        <w:left w:val="none" w:sz="0" w:space="0" w:color="auto"/>
        <w:bottom w:val="none" w:sz="0" w:space="0" w:color="auto"/>
        <w:right w:val="none" w:sz="0" w:space="0" w:color="auto"/>
      </w:divBdr>
    </w:div>
    <w:div w:id="309529737">
      <w:bodyDiv w:val="1"/>
      <w:marLeft w:val="0"/>
      <w:marRight w:val="0"/>
      <w:marTop w:val="0"/>
      <w:marBottom w:val="0"/>
      <w:divBdr>
        <w:top w:val="none" w:sz="0" w:space="0" w:color="auto"/>
        <w:left w:val="none" w:sz="0" w:space="0" w:color="auto"/>
        <w:bottom w:val="none" w:sz="0" w:space="0" w:color="auto"/>
        <w:right w:val="none" w:sz="0" w:space="0" w:color="auto"/>
      </w:divBdr>
    </w:div>
    <w:div w:id="343895611">
      <w:bodyDiv w:val="1"/>
      <w:marLeft w:val="0"/>
      <w:marRight w:val="0"/>
      <w:marTop w:val="0"/>
      <w:marBottom w:val="0"/>
      <w:divBdr>
        <w:top w:val="none" w:sz="0" w:space="0" w:color="auto"/>
        <w:left w:val="none" w:sz="0" w:space="0" w:color="auto"/>
        <w:bottom w:val="none" w:sz="0" w:space="0" w:color="auto"/>
        <w:right w:val="none" w:sz="0" w:space="0" w:color="auto"/>
      </w:divBdr>
    </w:div>
    <w:div w:id="349570259">
      <w:bodyDiv w:val="1"/>
      <w:marLeft w:val="0"/>
      <w:marRight w:val="0"/>
      <w:marTop w:val="0"/>
      <w:marBottom w:val="0"/>
      <w:divBdr>
        <w:top w:val="none" w:sz="0" w:space="0" w:color="auto"/>
        <w:left w:val="none" w:sz="0" w:space="0" w:color="auto"/>
        <w:bottom w:val="none" w:sz="0" w:space="0" w:color="auto"/>
        <w:right w:val="none" w:sz="0" w:space="0" w:color="auto"/>
      </w:divBdr>
    </w:div>
    <w:div w:id="352340932">
      <w:bodyDiv w:val="1"/>
      <w:marLeft w:val="0"/>
      <w:marRight w:val="0"/>
      <w:marTop w:val="0"/>
      <w:marBottom w:val="0"/>
      <w:divBdr>
        <w:top w:val="none" w:sz="0" w:space="0" w:color="auto"/>
        <w:left w:val="none" w:sz="0" w:space="0" w:color="auto"/>
        <w:bottom w:val="none" w:sz="0" w:space="0" w:color="auto"/>
        <w:right w:val="none" w:sz="0" w:space="0" w:color="auto"/>
      </w:divBdr>
    </w:div>
    <w:div w:id="360740815">
      <w:bodyDiv w:val="1"/>
      <w:marLeft w:val="0"/>
      <w:marRight w:val="0"/>
      <w:marTop w:val="0"/>
      <w:marBottom w:val="0"/>
      <w:divBdr>
        <w:top w:val="none" w:sz="0" w:space="0" w:color="auto"/>
        <w:left w:val="none" w:sz="0" w:space="0" w:color="auto"/>
        <w:bottom w:val="none" w:sz="0" w:space="0" w:color="auto"/>
        <w:right w:val="none" w:sz="0" w:space="0" w:color="auto"/>
      </w:divBdr>
    </w:div>
    <w:div w:id="364258059">
      <w:bodyDiv w:val="1"/>
      <w:marLeft w:val="0"/>
      <w:marRight w:val="0"/>
      <w:marTop w:val="0"/>
      <w:marBottom w:val="0"/>
      <w:divBdr>
        <w:top w:val="none" w:sz="0" w:space="0" w:color="auto"/>
        <w:left w:val="none" w:sz="0" w:space="0" w:color="auto"/>
        <w:bottom w:val="none" w:sz="0" w:space="0" w:color="auto"/>
        <w:right w:val="none" w:sz="0" w:space="0" w:color="auto"/>
      </w:divBdr>
    </w:div>
    <w:div w:id="366764048">
      <w:bodyDiv w:val="1"/>
      <w:marLeft w:val="0"/>
      <w:marRight w:val="0"/>
      <w:marTop w:val="0"/>
      <w:marBottom w:val="0"/>
      <w:divBdr>
        <w:top w:val="none" w:sz="0" w:space="0" w:color="auto"/>
        <w:left w:val="none" w:sz="0" w:space="0" w:color="auto"/>
        <w:bottom w:val="none" w:sz="0" w:space="0" w:color="auto"/>
        <w:right w:val="none" w:sz="0" w:space="0" w:color="auto"/>
      </w:divBdr>
    </w:div>
    <w:div w:id="373895196">
      <w:bodyDiv w:val="1"/>
      <w:marLeft w:val="0"/>
      <w:marRight w:val="0"/>
      <w:marTop w:val="0"/>
      <w:marBottom w:val="0"/>
      <w:divBdr>
        <w:top w:val="none" w:sz="0" w:space="0" w:color="auto"/>
        <w:left w:val="none" w:sz="0" w:space="0" w:color="auto"/>
        <w:bottom w:val="none" w:sz="0" w:space="0" w:color="auto"/>
        <w:right w:val="none" w:sz="0" w:space="0" w:color="auto"/>
      </w:divBdr>
      <w:divsChild>
        <w:div w:id="2099713361">
          <w:marLeft w:val="0"/>
          <w:marRight w:val="0"/>
          <w:marTop w:val="0"/>
          <w:marBottom w:val="0"/>
          <w:divBdr>
            <w:top w:val="none" w:sz="0" w:space="0" w:color="auto"/>
            <w:left w:val="none" w:sz="0" w:space="0" w:color="auto"/>
            <w:bottom w:val="none" w:sz="0" w:space="0" w:color="auto"/>
            <w:right w:val="none" w:sz="0" w:space="0" w:color="auto"/>
          </w:divBdr>
          <w:divsChild>
            <w:div w:id="2086032513">
              <w:marLeft w:val="0"/>
              <w:marRight w:val="0"/>
              <w:marTop w:val="0"/>
              <w:marBottom w:val="0"/>
              <w:divBdr>
                <w:top w:val="none" w:sz="0" w:space="0" w:color="auto"/>
                <w:left w:val="none" w:sz="0" w:space="0" w:color="auto"/>
                <w:bottom w:val="none" w:sz="0" w:space="0" w:color="auto"/>
                <w:right w:val="none" w:sz="0" w:space="0" w:color="auto"/>
              </w:divBdr>
              <w:divsChild>
                <w:div w:id="318192574">
                  <w:marLeft w:val="0"/>
                  <w:marRight w:val="0"/>
                  <w:marTop w:val="0"/>
                  <w:marBottom w:val="0"/>
                  <w:divBdr>
                    <w:top w:val="none" w:sz="0" w:space="0" w:color="auto"/>
                    <w:left w:val="none" w:sz="0" w:space="0" w:color="auto"/>
                    <w:bottom w:val="none" w:sz="0" w:space="0" w:color="auto"/>
                    <w:right w:val="none" w:sz="0" w:space="0" w:color="auto"/>
                  </w:divBdr>
                  <w:divsChild>
                    <w:div w:id="1410617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0056420">
      <w:bodyDiv w:val="1"/>
      <w:marLeft w:val="0"/>
      <w:marRight w:val="0"/>
      <w:marTop w:val="0"/>
      <w:marBottom w:val="0"/>
      <w:divBdr>
        <w:top w:val="none" w:sz="0" w:space="0" w:color="auto"/>
        <w:left w:val="none" w:sz="0" w:space="0" w:color="auto"/>
        <w:bottom w:val="none" w:sz="0" w:space="0" w:color="auto"/>
        <w:right w:val="none" w:sz="0" w:space="0" w:color="auto"/>
      </w:divBdr>
    </w:div>
    <w:div w:id="381713813">
      <w:bodyDiv w:val="1"/>
      <w:marLeft w:val="0"/>
      <w:marRight w:val="0"/>
      <w:marTop w:val="0"/>
      <w:marBottom w:val="0"/>
      <w:divBdr>
        <w:top w:val="none" w:sz="0" w:space="0" w:color="auto"/>
        <w:left w:val="none" w:sz="0" w:space="0" w:color="auto"/>
        <w:bottom w:val="none" w:sz="0" w:space="0" w:color="auto"/>
        <w:right w:val="none" w:sz="0" w:space="0" w:color="auto"/>
      </w:divBdr>
    </w:div>
    <w:div w:id="405300230">
      <w:bodyDiv w:val="1"/>
      <w:marLeft w:val="0"/>
      <w:marRight w:val="0"/>
      <w:marTop w:val="0"/>
      <w:marBottom w:val="0"/>
      <w:divBdr>
        <w:top w:val="none" w:sz="0" w:space="0" w:color="auto"/>
        <w:left w:val="none" w:sz="0" w:space="0" w:color="auto"/>
        <w:bottom w:val="none" w:sz="0" w:space="0" w:color="auto"/>
        <w:right w:val="none" w:sz="0" w:space="0" w:color="auto"/>
      </w:divBdr>
    </w:div>
    <w:div w:id="419108661">
      <w:bodyDiv w:val="1"/>
      <w:marLeft w:val="0"/>
      <w:marRight w:val="0"/>
      <w:marTop w:val="0"/>
      <w:marBottom w:val="0"/>
      <w:divBdr>
        <w:top w:val="none" w:sz="0" w:space="0" w:color="auto"/>
        <w:left w:val="none" w:sz="0" w:space="0" w:color="auto"/>
        <w:bottom w:val="none" w:sz="0" w:space="0" w:color="auto"/>
        <w:right w:val="none" w:sz="0" w:space="0" w:color="auto"/>
      </w:divBdr>
    </w:div>
    <w:div w:id="420222995">
      <w:bodyDiv w:val="1"/>
      <w:marLeft w:val="0"/>
      <w:marRight w:val="0"/>
      <w:marTop w:val="0"/>
      <w:marBottom w:val="0"/>
      <w:divBdr>
        <w:top w:val="none" w:sz="0" w:space="0" w:color="auto"/>
        <w:left w:val="none" w:sz="0" w:space="0" w:color="auto"/>
        <w:bottom w:val="none" w:sz="0" w:space="0" w:color="auto"/>
        <w:right w:val="none" w:sz="0" w:space="0" w:color="auto"/>
      </w:divBdr>
    </w:div>
    <w:div w:id="423260310">
      <w:bodyDiv w:val="1"/>
      <w:marLeft w:val="0"/>
      <w:marRight w:val="0"/>
      <w:marTop w:val="0"/>
      <w:marBottom w:val="0"/>
      <w:divBdr>
        <w:top w:val="none" w:sz="0" w:space="0" w:color="auto"/>
        <w:left w:val="none" w:sz="0" w:space="0" w:color="auto"/>
        <w:bottom w:val="none" w:sz="0" w:space="0" w:color="auto"/>
        <w:right w:val="none" w:sz="0" w:space="0" w:color="auto"/>
      </w:divBdr>
    </w:div>
    <w:div w:id="425882444">
      <w:bodyDiv w:val="1"/>
      <w:marLeft w:val="0"/>
      <w:marRight w:val="0"/>
      <w:marTop w:val="0"/>
      <w:marBottom w:val="0"/>
      <w:divBdr>
        <w:top w:val="none" w:sz="0" w:space="0" w:color="auto"/>
        <w:left w:val="none" w:sz="0" w:space="0" w:color="auto"/>
        <w:bottom w:val="none" w:sz="0" w:space="0" w:color="auto"/>
        <w:right w:val="none" w:sz="0" w:space="0" w:color="auto"/>
      </w:divBdr>
    </w:div>
    <w:div w:id="426118754">
      <w:bodyDiv w:val="1"/>
      <w:marLeft w:val="0"/>
      <w:marRight w:val="0"/>
      <w:marTop w:val="0"/>
      <w:marBottom w:val="0"/>
      <w:divBdr>
        <w:top w:val="none" w:sz="0" w:space="0" w:color="auto"/>
        <w:left w:val="none" w:sz="0" w:space="0" w:color="auto"/>
        <w:bottom w:val="none" w:sz="0" w:space="0" w:color="auto"/>
        <w:right w:val="none" w:sz="0" w:space="0" w:color="auto"/>
      </w:divBdr>
    </w:div>
    <w:div w:id="438377769">
      <w:bodyDiv w:val="1"/>
      <w:marLeft w:val="0"/>
      <w:marRight w:val="0"/>
      <w:marTop w:val="0"/>
      <w:marBottom w:val="0"/>
      <w:divBdr>
        <w:top w:val="none" w:sz="0" w:space="0" w:color="auto"/>
        <w:left w:val="none" w:sz="0" w:space="0" w:color="auto"/>
        <w:bottom w:val="none" w:sz="0" w:space="0" w:color="auto"/>
        <w:right w:val="none" w:sz="0" w:space="0" w:color="auto"/>
      </w:divBdr>
    </w:div>
    <w:div w:id="443311480">
      <w:bodyDiv w:val="1"/>
      <w:marLeft w:val="0"/>
      <w:marRight w:val="0"/>
      <w:marTop w:val="0"/>
      <w:marBottom w:val="0"/>
      <w:divBdr>
        <w:top w:val="none" w:sz="0" w:space="0" w:color="auto"/>
        <w:left w:val="none" w:sz="0" w:space="0" w:color="auto"/>
        <w:bottom w:val="none" w:sz="0" w:space="0" w:color="auto"/>
        <w:right w:val="none" w:sz="0" w:space="0" w:color="auto"/>
      </w:divBdr>
    </w:div>
    <w:div w:id="462620584">
      <w:bodyDiv w:val="1"/>
      <w:marLeft w:val="0"/>
      <w:marRight w:val="0"/>
      <w:marTop w:val="0"/>
      <w:marBottom w:val="0"/>
      <w:divBdr>
        <w:top w:val="none" w:sz="0" w:space="0" w:color="auto"/>
        <w:left w:val="none" w:sz="0" w:space="0" w:color="auto"/>
        <w:bottom w:val="none" w:sz="0" w:space="0" w:color="auto"/>
        <w:right w:val="none" w:sz="0" w:space="0" w:color="auto"/>
      </w:divBdr>
      <w:divsChild>
        <w:div w:id="1850099911">
          <w:marLeft w:val="0"/>
          <w:marRight w:val="0"/>
          <w:marTop w:val="0"/>
          <w:marBottom w:val="0"/>
          <w:divBdr>
            <w:top w:val="none" w:sz="0" w:space="0" w:color="auto"/>
            <w:left w:val="none" w:sz="0" w:space="0" w:color="auto"/>
            <w:bottom w:val="none" w:sz="0" w:space="0" w:color="auto"/>
            <w:right w:val="none" w:sz="0" w:space="0" w:color="auto"/>
          </w:divBdr>
        </w:div>
      </w:divsChild>
    </w:div>
    <w:div w:id="479349964">
      <w:bodyDiv w:val="1"/>
      <w:marLeft w:val="0"/>
      <w:marRight w:val="0"/>
      <w:marTop w:val="0"/>
      <w:marBottom w:val="0"/>
      <w:divBdr>
        <w:top w:val="none" w:sz="0" w:space="0" w:color="auto"/>
        <w:left w:val="none" w:sz="0" w:space="0" w:color="auto"/>
        <w:bottom w:val="none" w:sz="0" w:space="0" w:color="auto"/>
        <w:right w:val="none" w:sz="0" w:space="0" w:color="auto"/>
      </w:divBdr>
    </w:div>
    <w:div w:id="484394277">
      <w:bodyDiv w:val="1"/>
      <w:marLeft w:val="0"/>
      <w:marRight w:val="0"/>
      <w:marTop w:val="0"/>
      <w:marBottom w:val="0"/>
      <w:divBdr>
        <w:top w:val="none" w:sz="0" w:space="0" w:color="auto"/>
        <w:left w:val="none" w:sz="0" w:space="0" w:color="auto"/>
        <w:bottom w:val="none" w:sz="0" w:space="0" w:color="auto"/>
        <w:right w:val="none" w:sz="0" w:space="0" w:color="auto"/>
      </w:divBdr>
    </w:div>
    <w:div w:id="485437497">
      <w:bodyDiv w:val="1"/>
      <w:marLeft w:val="0"/>
      <w:marRight w:val="0"/>
      <w:marTop w:val="0"/>
      <w:marBottom w:val="0"/>
      <w:divBdr>
        <w:top w:val="none" w:sz="0" w:space="0" w:color="auto"/>
        <w:left w:val="none" w:sz="0" w:space="0" w:color="auto"/>
        <w:bottom w:val="none" w:sz="0" w:space="0" w:color="auto"/>
        <w:right w:val="none" w:sz="0" w:space="0" w:color="auto"/>
      </w:divBdr>
    </w:div>
    <w:div w:id="488013707">
      <w:bodyDiv w:val="1"/>
      <w:marLeft w:val="0"/>
      <w:marRight w:val="0"/>
      <w:marTop w:val="0"/>
      <w:marBottom w:val="0"/>
      <w:divBdr>
        <w:top w:val="none" w:sz="0" w:space="0" w:color="auto"/>
        <w:left w:val="none" w:sz="0" w:space="0" w:color="auto"/>
        <w:bottom w:val="none" w:sz="0" w:space="0" w:color="auto"/>
        <w:right w:val="none" w:sz="0" w:space="0" w:color="auto"/>
      </w:divBdr>
    </w:div>
    <w:div w:id="505437666">
      <w:bodyDiv w:val="1"/>
      <w:marLeft w:val="0"/>
      <w:marRight w:val="0"/>
      <w:marTop w:val="0"/>
      <w:marBottom w:val="0"/>
      <w:divBdr>
        <w:top w:val="none" w:sz="0" w:space="0" w:color="auto"/>
        <w:left w:val="none" w:sz="0" w:space="0" w:color="auto"/>
        <w:bottom w:val="none" w:sz="0" w:space="0" w:color="auto"/>
        <w:right w:val="none" w:sz="0" w:space="0" w:color="auto"/>
      </w:divBdr>
    </w:div>
    <w:div w:id="508641713">
      <w:bodyDiv w:val="1"/>
      <w:marLeft w:val="0"/>
      <w:marRight w:val="0"/>
      <w:marTop w:val="0"/>
      <w:marBottom w:val="0"/>
      <w:divBdr>
        <w:top w:val="none" w:sz="0" w:space="0" w:color="auto"/>
        <w:left w:val="none" w:sz="0" w:space="0" w:color="auto"/>
        <w:bottom w:val="none" w:sz="0" w:space="0" w:color="auto"/>
        <w:right w:val="none" w:sz="0" w:space="0" w:color="auto"/>
      </w:divBdr>
    </w:div>
    <w:div w:id="519707506">
      <w:bodyDiv w:val="1"/>
      <w:marLeft w:val="0"/>
      <w:marRight w:val="0"/>
      <w:marTop w:val="0"/>
      <w:marBottom w:val="0"/>
      <w:divBdr>
        <w:top w:val="none" w:sz="0" w:space="0" w:color="auto"/>
        <w:left w:val="none" w:sz="0" w:space="0" w:color="auto"/>
        <w:bottom w:val="none" w:sz="0" w:space="0" w:color="auto"/>
        <w:right w:val="none" w:sz="0" w:space="0" w:color="auto"/>
      </w:divBdr>
    </w:div>
    <w:div w:id="532426275">
      <w:bodyDiv w:val="1"/>
      <w:marLeft w:val="0"/>
      <w:marRight w:val="0"/>
      <w:marTop w:val="0"/>
      <w:marBottom w:val="0"/>
      <w:divBdr>
        <w:top w:val="none" w:sz="0" w:space="0" w:color="auto"/>
        <w:left w:val="none" w:sz="0" w:space="0" w:color="auto"/>
        <w:bottom w:val="none" w:sz="0" w:space="0" w:color="auto"/>
        <w:right w:val="none" w:sz="0" w:space="0" w:color="auto"/>
      </w:divBdr>
    </w:div>
    <w:div w:id="555161169">
      <w:bodyDiv w:val="1"/>
      <w:marLeft w:val="0"/>
      <w:marRight w:val="0"/>
      <w:marTop w:val="0"/>
      <w:marBottom w:val="0"/>
      <w:divBdr>
        <w:top w:val="none" w:sz="0" w:space="0" w:color="auto"/>
        <w:left w:val="none" w:sz="0" w:space="0" w:color="auto"/>
        <w:bottom w:val="none" w:sz="0" w:space="0" w:color="auto"/>
        <w:right w:val="none" w:sz="0" w:space="0" w:color="auto"/>
      </w:divBdr>
    </w:div>
    <w:div w:id="556743768">
      <w:bodyDiv w:val="1"/>
      <w:marLeft w:val="0"/>
      <w:marRight w:val="0"/>
      <w:marTop w:val="0"/>
      <w:marBottom w:val="0"/>
      <w:divBdr>
        <w:top w:val="none" w:sz="0" w:space="0" w:color="auto"/>
        <w:left w:val="none" w:sz="0" w:space="0" w:color="auto"/>
        <w:bottom w:val="none" w:sz="0" w:space="0" w:color="auto"/>
        <w:right w:val="none" w:sz="0" w:space="0" w:color="auto"/>
      </w:divBdr>
    </w:div>
    <w:div w:id="557473910">
      <w:bodyDiv w:val="1"/>
      <w:marLeft w:val="0"/>
      <w:marRight w:val="0"/>
      <w:marTop w:val="0"/>
      <w:marBottom w:val="0"/>
      <w:divBdr>
        <w:top w:val="none" w:sz="0" w:space="0" w:color="auto"/>
        <w:left w:val="none" w:sz="0" w:space="0" w:color="auto"/>
        <w:bottom w:val="none" w:sz="0" w:space="0" w:color="auto"/>
        <w:right w:val="none" w:sz="0" w:space="0" w:color="auto"/>
      </w:divBdr>
    </w:div>
    <w:div w:id="557666175">
      <w:bodyDiv w:val="1"/>
      <w:marLeft w:val="0"/>
      <w:marRight w:val="0"/>
      <w:marTop w:val="0"/>
      <w:marBottom w:val="0"/>
      <w:divBdr>
        <w:top w:val="none" w:sz="0" w:space="0" w:color="auto"/>
        <w:left w:val="none" w:sz="0" w:space="0" w:color="auto"/>
        <w:bottom w:val="none" w:sz="0" w:space="0" w:color="auto"/>
        <w:right w:val="none" w:sz="0" w:space="0" w:color="auto"/>
      </w:divBdr>
    </w:div>
    <w:div w:id="561330555">
      <w:bodyDiv w:val="1"/>
      <w:marLeft w:val="0"/>
      <w:marRight w:val="0"/>
      <w:marTop w:val="0"/>
      <w:marBottom w:val="0"/>
      <w:divBdr>
        <w:top w:val="none" w:sz="0" w:space="0" w:color="auto"/>
        <w:left w:val="none" w:sz="0" w:space="0" w:color="auto"/>
        <w:bottom w:val="none" w:sz="0" w:space="0" w:color="auto"/>
        <w:right w:val="none" w:sz="0" w:space="0" w:color="auto"/>
      </w:divBdr>
    </w:div>
    <w:div w:id="570504806">
      <w:bodyDiv w:val="1"/>
      <w:marLeft w:val="0"/>
      <w:marRight w:val="0"/>
      <w:marTop w:val="0"/>
      <w:marBottom w:val="0"/>
      <w:divBdr>
        <w:top w:val="none" w:sz="0" w:space="0" w:color="auto"/>
        <w:left w:val="none" w:sz="0" w:space="0" w:color="auto"/>
        <w:bottom w:val="none" w:sz="0" w:space="0" w:color="auto"/>
        <w:right w:val="none" w:sz="0" w:space="0" w:color="auto"/>
      </w:divBdr>
    </w:div>
    <w:div w:id="573200762">
      <w:bodyDiv w:val="1"/>
      <w:marLeft w:val="0"/>
      <w:marRight w:val="0"/>
      <w:marTop w:val="0"/>
      <w:marBottom w:val="0"/>
      <w:divBdr>
        <w:top w:val="none" w:sz="0" w:space="0" w:color="auto"/>
        <w:left w:val="none" w:sz="0" w:space="0" w:color="auto"/>
        <w:bottom w:val="none" w:sz="0" w:space="0" w:color="auto"/>
        <w:right w:val="none" w:sz="0" w:space="0" w:color="auto"/>
      </w:divBdr>
    </w:div>
    <w:div w:id="580720864">
      <w:bodyDiv w:val="1"/>
      <w:marLeft w:val="0"/>
      <w:marRight w:val="0"/>
      <w:marTop w:val="0"/>
      <w:marBottom w:val="0"/>
      <w:divBdr>
        <w:top w:val="none" w:sz="0" w:space="0" w:color="auto"/>
        <w:left w:val="none" w:sz="0" w:space="0" w:color="auto"/>
        <w:bottom w:val="none" w:sz="0" w:space="0" w:color="auto"/>
        <w:right w:val="none" w:sz="0" w:space="0" w:color="auto"/>
      </w:divBdr>
      <w:divsChild>
        <w:div w:id="107896746">
          <w:marLeft w:val="0"/>
          <w:marRight w:val="0"/>
          <w:marTop w:val="0"/>
          <w:marBottom w:val="0"/>
          <w:divBdr>
            <w:top w:val="none" w:sz="0" w:space="0" w:color="auto"/>
            <w:left w:val="none" w:sz="0" w:space="0" w:color="auto"/>
            <w:bottom w:val="none" w:sz="0" w:space="0" w:color="auto"/>
            <w:right w:val="none" w:sz="0" w:space="0" w:color="auto"/>
          </w:divBdr>
        </w:div>
      </w:divsChild>
    </w:div>
    <w:div w:id="613440568">
      <w:bodyDiv w:val="1"/>
      <w:marLeft w:val="0"/>
      <w:marRight w:val="0"/>
      <w:marTop w:val="0"/>
      <w:marBottom w:val="0"/>
      <w:divBdr>
        <w:top w:val="none" w:sz="0" w:space="0" w:color="auto"/>
        <w:left w:val="none" w:sz="0" w:space="0" w:color="auto"/>
        <w:bottom w:val="none" w:sz="0" w:space="0" w:color="auto"/>
        <w:right w:val="none" w:sz="0" w:space="0" w:color="auto"/>
      </w:divBdr>
    </w:div>
    <w:div w:id="657660098">
      <w:bodyDiv w:val="1"/>
      <w:marLeft w:val="0"/>
      <w:marRight w:val="0"/>
      <w:marTop w:val="0"/>
      <w:marBottom w:val="0"/>
      <w:divBdr>
        <w:top w:val="none" w:sz="0" w:space="0" w:color="auto"/>
        <w:left w:val="none" w:sz="0" w:space="0" w:color="auto"/>
        <w:bottom w:val="none" w:sz="0" w:space="0" w:color="auto"/>
        <w:right w:val="none" w:sz="0" w:space="0" w:color="auto"/>
      </w:divBdr>
    </w:div>
    <w:div w:id="665860153">
      <w:bodyDiv w:val="1"/>
      <w:marLeft w:val="0"/>
      <w:marRight w:val="0"/>
      <w:marTop w:val="0"/>
      <w:marBottom w:val="0"/>
      <w:divBdr>
        <w:top w:val="none" w:sz="0" w:space="0" w:color="auto"/>
        <w:left w:val="none" w:sz="0" w:space="0" w:color="auto"/>
        <w:bottom w:val="none" w:sz="0" w:space="0" w:color="auto"/>
        <w:right w:val="none" w:sz="0" w:space="0" w:color="auto"/>
      </w:divBdr>
    </w:div>
    <w:div w:id="668405471">
      <w:bodyDiv w:val="1"/>
      <w:marLeft w:val="0"/>
      <w:marRight w:val="0"/>
      <w:marTop w:val="0"/>
      <w:marBottom w:val="0"/>
      <w:divBdr>
        <w:top w:val="none" w:sz="0" w:space="0" w:color="auto"/>
        <w:left w:val="none" w:sz="0" w:space="0" w:color="auto"/>
        <w:bottom w:val="none" w:sz="0" w:space="0" w:color="auto"/>
        <w:right w:val="none" w:sz="0" w:space="0" w:color="auto"/>
      </w:divBdr>
    </w:div>
    <w:div w:id="674770230">
      <w:bodyDiv w:val="1"/>
      <w:marLeft w:val="0"/>
      <w:marRight w:val="0"/>
      <w:marTop w:val="0"/>
      <w:marBottom w:val="0"/>
      <w:divBdr>
        <w:top w:val="none" w:sz="0" w:space="0" w:color="auto"/>
        <w:left w:val="none" w:sz="0" w:space="0" w:color="auto"/>
        <w:bottom w:val="none" w:sz="0" w:space="0" w:color="auto"/>
        <w:right w:val="none" w:sz="0" w:space="0" w:color="auto"/>
      </w:divBdr>
    </w:div>
    <w:div w:id="686560404">
      <w:bodyDiv w:val="1"/>
      <w:marLeft w:val="0"/>
      <w:marRight w:val="0"/>
      <w:marTop w:val="0"/>
      <w:marBottom w:val="0"/>
      <w:divBdr>
        <w:top w:val="none" w:sz="0" w:space="0" w:color="auto"/>
        <w:left w:val="none" w:sz="0" w:space="0" w:color="auto"/>
        <w:bottom w:val="none" w:sz="0" w:space="0" w:color="auto"/>
        <w:right w:val="none" w:sz="0" w:space="0" w:color="auto"/>
      </w:divBdr>
    </w:div>
    <w:div w:id="694770474">
      <w:bodyDiv w:val="1"/>
      <w:marLeft w:val="0"/>
      <w:marRight w:val="0"/>
      <w:marTop w:val="0"/>
      <w:marBottom w:val="0"/>
      <w:divBdr>
        <w:top w:val="none" w:sz="0" w:space="0" w:color="auto"/>
        <w:left w:val="none" w:sz="0" w:space="0" w:color="auto"/>
        <w:bottom w:val="none" w:sz="0" w:space="0" w:color="auto"/>
        <w:right w:val="none" w:sz="0" w:space="0" w:color="auto"/>
      </w:divBdr>
    </w:div>
    <w:div w:id="726760478">
      <w:bodyDiv w:val="1"/>
      <w:marLeft w:val="0"/>
      <w:marRight w:val="0"/>
      <w:marTop w:val="0"/>
      <w:marBottom w:val="0"/>
      <w:divBdr>
        <w:top w:val="none" w:sz="0" w:space="0" w:color="auto"/>
        <w:left w:val="none" w:sz="0" w:space="0" w:color="auto"/>
        <w:bottom w:val="none" w:sz="0" w:space="0" w:color="auto"/>
        <w:right w:val="none" w:sz="0" w:space="0" w:color="auto"/>
      </w:divBdr>
    </w:div>
    <w:div w:id="729234589">
      <w:bodyDiv w:val="1"/>
      <w:marLeft w:val="0"/>
      <w:marRight w:val="0"/>
      <w:marTop w:val="0"/>
      <w:marBottom w:val="0"/>
      <w:divBdr>
        <w:top w:val="none" w:sz="0" w:space="0" w:color="auto"/>
        <w:left w:val="none" w:sz="0" w:space="0" w:color="auto"/>
        <w:bottom w:val="none" w:sz="0" w:space="0" w:color="auto"/>
        <w:right w:val="none" w:sz="0" w:space="0" w:color="auto"/>
      </w:divBdr>
    </w:div>
    <w:div w:id="734085872">
      <w:bodyDiv w:val="1"/>
      <w:marLeft w:val="0"/>
      <w:marRight w:val="0"/>
      <w:marTop w:val="0"/>
      <w:marBottom w:val="0"/>
      <w:divBdr>
        <w:top w:val="none" w:sz="0" w:space="0" w:color="auto"/>
        <w:left w:val="none" w:sz="0" w:space="0" w:color="auto"/>
        <w:bottom w:val="none" w:sz="0" w:space="0" w:color="auto"/>
        <w:right w:val="none" w:sz="0" w:space="0" w:color="auto"/>
      </w:divBdr>
    </w:div>
    <w:div w:id="736051670">
      <w:bodyDiv w:val="1"/>
      <w:marLeft w:val="0"/>
      <w:marRight w:val="0"/>
      <w:marTop w:val="0"/>
      <w:marBottom w:val="0"/>
      <w:divBdr>
        <w:top w:val="none" w:sz="0" w:space="0" w:color="auto"/>
        <w:left w:val="none" w:sz="0" w:space="0" w:color="auto"/>
        <w:bottom w:val="none" w:sz="0" w:space="0" w:color="auto"/>
        <w:right w:val="none" w:sz="0" w:space="0" w:color="auto"/>
      </w:divBdr>
    </w:div>
    <w:div w:id="739060112">
      <w:bodyDiv w:val="1"/>
      <w:marLeft w:val="0"/>
      <w:marRight w:val="0"/>
      <w:marTop w:val="0"/>
      <w:marBottom w:val="0"/>
      <w:divBdr>
        <w:top w:val="none" w:sz="0" w:space="0" w:color="auto"/>
        <w:left w:val="none" w:sz="0" w:space="0" w:color="auto"/>
        <w:bottom w:val="none" w:sz="0" w:space="0" w:color="auto"/>
        <w:right w:val="none" w:sz="0" w:space="0" w:color="auto"/>
      </w:divBdr>
    </w:div>
    <w:div w:id="757991533">
      <w:bodyDiv w:val="1"/>
      <w:marLeft w:val="0"/>
      <w:marRight w:val="0"/>
      <w:marTop w:val="0"/>
      <w:marBottom w:val="0"/>
      <w:divBdr>
        <w:top w:val="none" w:sz="0" w:space="0" w:color="auto"/>
        <w:left w:val="none" w:sz="0" w:space="0" w:color="auto"/>
        <w:bottom w:val="none" w:sz="0" w:space="0" w:color="auto"/>
        <w:right w:val="none" w:sz="0" w:space="0" w:color="auto"/>
      </w:divBdr>
    </w:div>
    <w:div w:id="769853605">
      <w:bodyDiv w:val="1"/>
      <w:marLeft w:val="0"/>
      <w:marRight w:val="0"/>
      <w:marTop w:val="0"/>
      <w:marBottom w:val="0"/>
      <w:divBdr>
        <w:top w:val="none" w:sz="0" w:space="0" w:color="auto"/>
        <w:left w:val="none" w:sz="0" w:space="0" w:color="auto"/>
        <w:bottom w:val="none" w:sz="0" w:space="0" w:color="auto"/>
        <w:right w:val="none" w:sz="0" w:space="0" w:color="auto"/>
      </w:divBdr>
    </w:div>
    <w:div w:id="770509333">
      <w:bodyDiv w:val="1"/>
      <w:marLeft w:val="0"/>
      <w:marRight w:val="0"/>
      <w:marTop w:val="0"/>
      <w:marBottom w:val="0"/>
      <w:divBdr>
        <w:top w:val="none" w:sz="0" w:space="0" w:color="auto"/>
        <w:left w:val="none" w:sz="0" w:space="0" w:color="auto"/>
        <w:bottom w:val="none" w:sz="0" w:space="0" w:color="auto"/>
        <w:right w:val="none" w:sz="0" w:space="0" w:color="auto"/>
      </w:divBdr>
    </w:div>
    <w:div w:id="773745446">
      <w:bodyDiv w:val="1"/>
      <w:marLeft w:val="0"/>
      <w:marRight w:val="0"/>
      <w:marTop w:val="0"/>
      <w:marBottom w:val="0"/>
      <w:divBdr>
        <w:top w:val="none" w:sz="0" w:space="0" w:color="auto"/>
        <w:left w:val="none" w:sz="0" w:space="0" w:color="auto"/>
        <w:bottom w:val="none" w:sz="0" w:space="0" w:color="auto"/>
        <w:right w:val="none" w:sz="0" w:space="0" w:color="auto"/>
      </w:divBdr>
    </w:div>
    <w:div w:id="784736769">
      <w:bodyDiv w:val="1"/>
      <w:marLeft w:val="0"/>
      <w:marRight w:val="0"/>
      <w:marTop w:val="0"/>
      <w:marBottom w:val="0"/>
      <w:divBdr>
        <w:top w:val="none" w:sz="0" w:space="0" w:color="auto"/>
        <w:left w:val="none" w:sz="0" w:space="0" w:color="auto"/>
        <w:bottom w:val="none" w:sz="0" w:space="0" w:color="auto"/>
        <w:right w:val="none" w:sz="0" w:space="0" w:color="auto"/>
      </w:divBdr>
    </w:div>
    <w:div w:id="792135093">
      <w:bodyDiv w:val="1"/>
      <w:marLeft w:val="0"/>
      <w:marRight w:val="0"/>
      <w:marTop w:val="0"/>
      <w:marBottom w:val="0"/>
      <w:divBdr>
        <w:top w:val="none" w:sz="0" w:space="0" w:color="auto"/>
        <w:left w:val="none" w:sz="0" w:space="0" w:color="auto"/>
        <w:bottom w:val="none" w:sz="0" w:space="0" w:color="auto"/>
        <w:right w:val="none" w:sz="0" w:space="0" w:color="auto"/>
      </w:divBdr>
    </w:div>
    <w:div w:id="793452344">
      <w:bodyDiv w:val="1"/>
      <w:marLeft w:val="0"/>
      <w:marRight w:val="0"/>
      <w:marTop w:val="0"/>
      <w:marBottom w:val="0"/>
      <w:divBdr>
        <w:top w:val="none" w:sz="0" w:space="0" w:color="auto"/>
        <w:left w:val="none" w:sz="0" w:space="0" w:color="auto"/>
        <w:bottom w:val="none" w:sz="0" w:space="0" w:color="auto"/>
        <w:right w:val="none" w:sz="0" w:space="0" w:color="auto"/>
      </w:divBdr>
    </w:div>
    <w:div w:id="804272297">
      <w:bodyDiv w:val="1"/>
      <w:marLeft w:val="0"/>
      <w:marRight w:val="0"/>
      <w:marTop w:val="0"/>
      <w:marBottom w:val="0"/>
      <w:divBdr>
        <w:top w:val="none" w:sz="0" w:space="0" w:color="auto"/>
        <w:left w:val="none" w:sz="0" w:space="0" w:color="auto"/>
        <w:bottom w:val="none" w:sz="0" w:space="0" w:color="auto"/>
        <w:right w:val="none" w:sz="0" w:space="0" w:color="auto"/>
      </w:divBdr>
    </w:div>
    <w:div w:id="809633890">
      <w:bodyDiv w:val="1"/>
      <w:marLeft w:val="0"/>
      <w:marRight w:val="0"/>
      <w:marTop w:val="0"/>
      <w:marBottom w:val="0"/>
      <w:divBdr>
        <w:top w:val="none" w:sz="0" w:space="0" w:color="auto"/>
        <w:left w:val="none" w:sz="0" w:space="0" w:color="auto"/>
        <w:bottom w:val="none" w:sz="0" w:space="0" w:color="auto"/>
        <w:right w:val="none" w:sz="0" w:space="0" w:color="auto"/>
      </w:divBdr>
    </w:div>
    <w:div w:id="809707293">
      <w:bodyDiv w:val="1"/>
      <w:marLeft w:val="0"/>
      <w:marRight w:val="0"/>
      <w:marTop w:val="0"/>
      <w:marBottom w:val="0"/>
      <w:divBdr>
        <w:top w:val="none" w:sz="0" w:space="0" w:color="auto"/>
        <w:left w:val="none" w:sz="0" w:space="0" w:color="auto"/>
        <w:bottom w:val="none" w:sz="0" w:space="0" w:color="auto"/>
        <w:right w:val="none" w:sz="0" w:space="0" w:color="auto"/>
      </w:divBdr>
    </w:div>
    <w:div w:id="844519763">
      <w:bodyDiv w:val="1"/>
      <w:marLeft w:val="0"/>
      <w:marRight w:val="0"/>
      <w:marTop w:val="0"/>
      <w:marBottom w:val="0"/>
      <w:divBdr>
        <w:top w:val="none" w:sz="0" w:space="0" w:color="auto"/>
        <w:left w:val="none" w:sz="0" w:space="0" w:color="auto"/>
        <w:bottom w:val="none" w:sz="0" w:space="0" w:color="auto"/>
        <w:right w:val="none" w:sz="0" w:space="0" w:color="auto"/>
      </w:divBdr>
    </w:div>
    <w:div w:id="844710074">
      <w:bodyDiv w:val="1"/>
      <w:marLeft w:val="0"/>
      <w:marRight w:val="0"/>
      <w:marTop w:val="0"/>
      <w:marBottom w:val="0"/>
      <w:divBdr>
        <w:top w:val="none" w:sz="0" w:space="0" w:color="auto"/>
        <w:left w:val="none" w:sz="0" w:space="0" w:color="auto"/>
        <w:bottom w:val="none" w:sz="0" w:space="0" w:color="auto"/>
        <w:right w:val="none" w:sz="0" w:space="0" w:color="auto"/>
      </w:divBdr>
    </w:div>
    <w:div w:id="857741868">
      <w:bodyDiv w:val="1"/>
      <w:marLeft w:val="0"/>
      <w:marRight w:val="0"/>
      <w:marTop w:val="0"/>
      <w:marBottom w:val="0"/>
      <w:divBdr>
        <w:top w:val="none" w:sz="0" w:space="0" w:color="auto"/>
        <w:left w:val="none" w:sz="0" w:space="0" w:color="auto"/>
        <w:bottom w:val="none" w:sz="0" w:space="0" w:color="auto"/>
        <w:right w:val="none" w:sz="0" w:space="0" w:color="auto"/>
      </w:divBdr>
    </w:div>
    <w:div w:id="859785365">
      <w:bodyDiv w:val="1"/>
      <w:marLeft w:val="0"/>
      <w:marRight w:val="0"/>
      <w:marTop w:val="0"/>
      <w:marBottom w:val="0"/>
      <w:divBdr>
        <w:top w:val="none" w:sz="0" w:space="0" w:color="auto"/>
        <w:left w:val="none" w:sz="0" w:space="0" w:color="auto"/>
        <w:bottom w:val="none" w:sz="0" w:space="0" w:color="auto"/>
        <w:right w:val="none" w:sz="0" w:space="0" w:color="auto"/>
      </w:divBdr>
    </w:div>
    <w:div w:id="859977495">
      <w:bodyDiv w:val="1"/>
      <w:marLeft w:val="0"/>
      <w:marRight w:val="0"/>
      <w:marTop w:val="0"/>
      <w:marBottom w:val="0"/>
      <w:divBdr>
        <w:top w:val="none" w:sz="0" w:space="0" w:color="auto"/>
        <w:left w:val="none" w:sz="0" w:space="0" w:color="auto"/>
        <w:bottom w:val="none" w:sz="0" w:space="0" w:color="auto"/>
        <w:right w:val="none" w:sz="0" w:space="0" w:color="auto"/>
      </w:divBdr>
    </w:div>
    <w:div w:id="877279730">
      <w:bodyDiv w:val="1"/>
      <w:marLeft w:val="0"/>
      <w:marRight w:val="0"/>
      <w:marTop w:val="0"/>
      <w:marBottom w:val="0"/>
      <w:divBdr>
        <w:top w:val="none" w:sz="0" w:space="0" w:color="auto"/>
        <w:left w:val="none" w:sz="0" w:space="0" w:color="auto"/>
        <w:bottom w:val="none" w:sz="0" w:space="0" w:color="auto"/>
        <w:right w:val="none" w:sz="0" w:space="0" w:color="auto"/>
      </w:divBdr>
      <w:divsChild>
        <w:div w:id="796140371">
          <w:marLeft w:val="0"/>
          <w:marRight w:val="0"/>
          <w:marTop w:val="0"/>
          <w:marBottom w:val="0"/>
          <w:divBdr>
            <w:top w:val="none" w:sz="0" w:space="0" w:color="auto"/>
            <w:left w:val="none" w:sz="0" w:space="0" w:color="auto"/>
            <w:bottom w:val="none" w:sz="0" w:space="0" w:color="auto"/>
            <w:right w:val="none" w:sz="0" w:space="0" w:color="auto"/>
          </w:divBdr>
          <w:divsChild>
            <w:div w:id="78794727">
              <w:marLeft w:val="0"/>
              <w:marRight w:val="0"/>
              <w:marTop w:val="0"/>
              <w:marBottom w:val="0"/>
              <w:divBdr>
                <w:top w:val="none" w:sz="0" w:space="0" w:color="auto"/>
                <w:left w:val="none" w:sz="0" w:space="0" w:color="auto"/>
                <w:bottom w:val="none" w:sz="0" w:space="0" w:color="auto"/>
                <w:right w:val="none" w:sz="0" w:space="0" w:color="auto"/>
              </w:divBdr>
              <w:divsChild>
                <w:div w:id="1716735545">
                  <w:marLeft w:val="0"/>
                  <w:marRight w:val="0"/>
                  <w:marTop w:val="0"/>
                  <w:marBottom w:val="0"/>
                  <w:divBdr>
                    <w:top w:val="none" w:sz="0" w:space="0" w:color="auto"/>
                    <w:left w:val="none" w:sz="0" w:space="0" w:color="auto"/>
                    <w:bottom w:val="none" w:sz="0" w:space="0" w:color="auto"/>
                    <w:right w:val="none" w:sz="0" w:space="0" w:color="auto"/>
                  </w:divBdr>
                  <w:divsChild>
                    <w:div w:id="106898637">
                      <w:marLeft w:val="0"/>
                      <w:marRight w:val="0"/>
                      <w:marTop w:val="0"/>
                      <w:marBottom w:val="0"/>
                      <w:divBdr>
                        <w:top w:val="none" w:sz="0" w:space="0" w:color="auto"/>
                        <w:left w:val="none" w:sz="0" w:space="0" w:color="auto"/>
                        <w:bottom w:val="none" w:sz="0" w:space="0" w:color="auto"/>
                        <w:right w:val="none" w:sz="0" w:space="0" w:color="auto"/>
                      </w:divBdr>
                      <w:divsChild>
                        <w:div w:id="1431270181">
                          <w:marLeft w:val="0"/>
                          <w:marRight w:val="0"/>
                          <w:marTop w:val="0"/>
                          <w:marBottom w:val="0"/>
                          <w:divBdr>
                            <w:top w:val="none" w:sz="0" w:space="0" w:color="auto"/>
                            <w:left w:val="none" w:sz="0" w:space="0" w:color="auto"/>
                            <w:bottom w:val="none" w:sz="0" w:space="0" w:color="auto"/>
                            <w:right w:val="none" w:sz="0" w:space="0" w:color="auto"/>
                          </w:divBdr>
                          <w:divsChild>
                            <w:div w:id="147090805">
                              <w:marLeft w:val="0"/>
                              <w:marRight w:val="0"/>
                              <w:marTop w:val="0"/>
                              <w:marBottom w:val="0"/>
                              <w:divBdr>
                                <w:top w:val="none" w:sz="0" w:space="0" w:color="auto"/>
                                <w:left w:val="none" w:sz="0" w:space="0" w:color="auto"/>
                                <w:bottom w:val="none" w:sz="0" w:space="0" w:color="auto"/>
                                <w:right w:val="none" w:sz="0" w:space="0" w:color="auto"/>
                              </w:divBdr>
                              <w:divsChild>
                                <w:div w:id="1545367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6121122">
              <w:marLeft w:val="0"/>
              <w:marRight w:val="0"/>
              <w:marTop w:val="0"/>
              <w:marBottom w:val="0"/>
              <w:divBdr>
                <w:top w:val="none" w:sz="0" w:space="0" w:color="auto"/>
                <w:left w:val="none" w:sz="0" w:space="0" w:color="auto"/>
                <w:bottom w:val="none" w:sz="0" w:space="0" w:color="auto"/>
                <w:right w:val="none" w:sz="0" w:space="0" w:color="auto"/>
              </w:divBdr>
              <w:divsChild>
                <w:div w:id="830800434">
                  <w:marLeft w:val="0"/>
                  <w:marRight w:val="0"/>
                  <w:marTop w:val="0"/>
                  <w:marBottom w:val="0"/>
                  <w:divBdr>
                    <w:top w:val="none" w:sz="0" w:space="0" w:color="auto"/>
                    <w:left w:val="none" w:sz="0" w:space="0" w:color="auto"/>
                    <w:bottom w:val="none" w:sz="0" w:space="0" w:color="auto"/>
                    <w:right w:val="none" w:sz="0" w:space="0" w:color="auto"/>
                  </w:divBdr>
                  <w:divsChild>
                    <w:div w:id="1618441008">
                      <w:marLeft w:val="0"/>
                      <w:marRight w:val="0"/>
                      <w:marTop w:val="0"/>
                      <w:marBottom w:val="0"/>
                      <w:divBdr>
                        <w:top w:val="none" w:sz="0" w:space="0" w:color="auto"/>
                        <w:left w:val="none" w:sz="0" w:space="0" w:color="auto"/>
                        <w:bottom w:val="none" w:sz="0" w:space="0" w:color="auto"/>
                        <w:right w:val="none" w:sz="0" w:space="0" w:color="auto"/>
                      </w:divBdr>
                      <w:divsChild>
                        <w:div w:id="878199515">
                          <w:marLeft w:val="0"/>
                          <w:marRight w:val="0"/>
                          <w:marTop w:val="0"/>
                          <w:marBottom w:val="0"/>
                          <w:divBdr>
                            <w:top w:val="none" w:sz="0" w:space="0" w:color="auto"/>
                            <w:left w:val="none" w:sz="0" w:space="0" w:color="auto"/>
                            <w:bottom w:val="none" w:sz="0" w:space="0" w:color="auto"/>
                            <w:right w:val="none" w:sz="0" w:space="0" w:color="auto"/>
                          </w:divBdr>
                          <w:divsChild>
                            <w:div w:id="844325579">
                              <w:marLeft w:val="0"/>
                              <w:marRight w:val="0"/>
                              <w:marTop w:val="0"/>
                              <w:marBottom w:val="0"/>
                              <w:divBdr>
                                <w:top w:val="none" w:sz="0" w:space="0" w:color="auto"/>
                                <w:left w:val="none" w:sz="0" w:space="0" w:color="auto"/>
                                <w:bottom w:val="none" w:sz="0" w:space="0" w:color="auto"/>
                                <w:right w:val="none" w:sz="0" w:space="0" w:color="auto"/>
                              </w:divBdr>
                              <w:divsChild>
                                <w:div w:id="198203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459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936416">
      <w:bodyDiv w:val="1"/>
      <w:marLeft w:val="0"/>
      <w:marRight w:val="0"/>
      <w:marTop w:val="0"/>
      <w:marBottom w:val="0"/>
      <w:divBdr>
        <w:top w:val="none" w:sz="0" w:space="0" w:color="auto"/>
        <w:left w:val="none" w:sz="0" w:space="0" w:color="auto"/>
        <w:bottom w:val="none" w:sz="0" w:space="0" w:color="auto"/>
        <w:right w:val="none" w:sz="0" w:space="0" w:color="auto"/>
      </w:divBdr>
    </w:div>
    <w:div w:id="883831748">
      <w:bodyDiv w:val="1"/>
      <w:marLeft w:val="0"/>
      <w:marRight w:val="0"/>
      <w:marTop w:val="0"/>
      <w:marBottom w:val="0"/>
      <w:divBdr>
        <w:top w:val="none" w:sz="0" w:space="0" w:color="auto"/>
        <w:left w:val="none" w:sz="0" w:space="0" w:color="auto"/>
        <w:bottom w:val="none" w:sz="0" w:space="0" w:color="auto"/>
        <w:right w:val="none" w:sz="0" w:space="0" w:color="auto"/>
      </w:divBdr>
    </w:div>
    <w:div w:id="928319438">
      <w:bodyDiv w:val="1"/>
      <w:marLeft w:val="0"/>
      <w:marRight w:val="0"/>
      <w:marTop w:val="0"/>
      <w:marBottom w:val="0"/>
      <w:divBdr>
        <w:top w:val="none" w:sz="0" w:space="0" w:color="auto"/>
        <w:left w:val="none" w:sz="0" w:space="0" w:color="auto"/>
        <w:bottom w:val="none" w:sz="0" w:space="0" w:color="auto"/>
        <w:right w:val="none" w:sz="0" w:space="0" w:color="auto"/>
      </w:divBdr>
    </w:div>
    <w:div w:id="931430182">
      <w:bodyDiv w:val="1"/>
      <w:marLeft w:val="0"/>
      <w:marRight w:val="0"/>
      <w:marTop w:val="0"/>
      <w:marBottom w:val="0"/>
      <w:divBdr>
        <w:top w:val="none" w:sz="0" w:space="0" w:color="auto"/>
        <w:left w:val="none" w:sz="0" w:space="0" w:color="auto"/>
        <w:bottom w:val="none" w:sz="0" w:space="0" w:color="auto"/>
        <w:right w:val="none" w:sz="0" w:space="0" w:color="auto"/>
      </w:divBdr>
    </w:div>
    <w:div w:id="938488581">
      <w:bodyDiv w:val="1"/>
      <w:marLeft w:val="0"/>
      <w:marRight w:val="0"/>
      <w:marTop w:val="0"/>
      <w:marBottom w:val="0"/>
      <w:divBdr>
        <w:top w:val="none" w:sz="0" w:space="0" w:color="auto"/>
        <w:left w:val="none" w:sz="0" w:space="0" w:color="auto"/>
        <w:bottom w:val="none" w:sz="0" w:space="0" w:color="auto"/>
        <w:right w:val="none" w:sz="0" w:space="0" w:color="auto"/>
      </w:divBdr>
    </w:div>
    <w:div w:id="943268421">
      <w:bodyDiv w:val="1"/>
      <w:marLeft w:val="0"/>
      <w:marRight w:val="0"/>
      <w:marTop w:val="0"/>
      <w:marBottom w:val="0"/>
      <w:divBdr>
        <w:top w:val="none" w:sz="0" w:space="0" w:color="auto"/>
        <w:left w:val="none" w:sz="0" w:space="0" w:color="auto"/>
        <w:bottom w:val="none" w:sz="0" w:space="0" w:color="auto"/>
        <w:right w:val="none" w:sz="0" w:space="0" w:color="auto"/>
      </w:divBdr>
    </w:div>
    <w:div w:id="960766662">
      <w:bodyDiv w:val="1"/>
      <w:marLeft w:val="0"/>
      <w:marRight w:val="0"/>
      <w:marTop w:val="0"/>
      <w:marBottom w:val="0"/>
      <w:divBdr>
        <w:top w:val="none" w:sz="0" w:space="0" w:color="auto"/>
        <w:left w:val="none" w:sz="0" w:space="0" w:color="auto"/>
        <w:bottom w:val="none" w:sz="0" w:space="0" w:color="auto"/>
        <w:right w:val="none" w:sz="0" w:space="0" w:color="auto"/>
      </w:divBdr>
    </w:div>
    <w:div w:id="992834107">
      <w:bodyDiv w:val="1"/>
      <w:marLeft w:val="0"/>
      <w:marRight w:val="0"/>
      <w:marTop w:val="0"/>
      <w:marBottom w:val="0"/>
      <w:divBdr>
        <w:top w:val="none" w:sz="0" w:space="0" w:color="auto"/>
        <w:left w:val="none" w:sz="0" w:space="0" w:color="auto"/>
        <w:bottom w:val="none" w:sz="0" w:space="0" w:color="auto"/>
        <w:right w:val="none" w:sz="0" w:space="0" w:color="auto"/>
      </w:divBdr>
    </w:div>
    <w:div w:id="994143895">
      <w:bodyDiv w:val="1"/>
      <w:marLeft w:val="0"/>
      <w:marRight w:val="0"/>
      <w:marTop w:val="0"/>
      <w:marBottom w:val="0"/>
      <w:divBdr>
        <w:top w:val="none" w:sz="0" w:space="0" w:color="auto"/>
        <w:left w:val="none" w:sz="0" w:space="0" w:color="auto"/>
        <w:bottom w:val="none" w:sz="0" w:space="0" w:color="auto"/>
        <w:right w:val="none" w:sz="0" w:space="0" w:color="auto"/>
      </w:divBdr>
    </w:div>
    <w:div w:id="997533436">
      <w:bodyDiv w:val="1"/>
      <w:marLeft w:val="0"/>
      <w:marRight w:val="0"/>
      <w:marTop w:val="0"/>
      <w:marBottom w:val="0"/>
      <w:divBdr>
        <w:top w:val="none" w:sz="0" w:space="0" w:color="auto"/>
        <w:left w:val="none" w:sz="0" w:space="0" w:color="auto"/>
        <w:bottom w:val="none" w:sz="0" w:space="0" w:color="auto"/>
        <w:right w:val="none" w:sz="0" w:space="0" w:color="auto"/>
      </w:divBdr>
    </w:div>
    <w:div w:id="1017657521">
      <w:bodyDiv w:val="1"/>
      <w:marLeft w:val="0"/>
      <w:marRight w:val="0"/>
      <w:marTop w:val="0"/>
      <w:marBottom w:val="0"/>
      <w:divBdr>
        <w:top w:val="none" w:sz="0" w:space="0" w:color="auto"/>
        <w:left w:val="none" w:sz="0" w:space="0" w:color="auto"/>
        <w:bottom w:val="none" w:sz="0" w:space="0" w:color="auto"/>
        <w:right w:val="none" w:sz="0" w:space="0" w:color="auto"/>
      </w:divBdr>
    </w:div>
    <w:div w:id="1032460529">
      <w:bodyDiv w:val="1"/>
      <w:marLeft w:val="0"/>
      <w:marRight w:val="0"/>
      <w:marTop w:val="0"/>
      <w:marBottom w:val="0"/>
      <w:divBdr>
        <w:top w:val="none" w:sz="0" w:space="0" w:color="auto"/>
        <w:left w:val="none" w:sz="0" w:space="0" w:color="auto"/>
        <w:bottom w:val="none" w:sz="0" w:space="0" w:color="auto"/>
        <w:right w:val="none" w:sz="0" w:space="0" w:color="auto"/>
      </w:divBdr>
    </w:div>
    <w:div w:id="1036463011">
      <w:bodyDiv w:val="1"/>
      <w:marLeft w:val="0"/>
      <w:marRight w:val="0"/>
      <w:marTop w:val="0"/>
      <w:marBottom w:val="0"/>
      <w:divBdr>
        <w:top w:val="none" w:sz="0" w:space="0" w:color="auto"/>
        <w:left w:val="none" w:sz="0" w:space="0" w:color="auto"/>
        <w:bottom w:val="none" w:sz="0" w:space="0" w:color="auto"/>
        <w:right w:val="none" w:sz="0" w:space="0" w:color="auto"/>
      </w:divBdr>
    </w:div>
    <w:div w:id="1055399363">
      <w:bodyDiv w:val="1"/>
      <w:marLeft w:val="0"/>
      <w:marRight w:val="0"/>
      <w:marTop w:val="0"/>
      <w:marBottom w:val="0"/>
      <w:divBdr>
        <w:top w:val="none" w:sz="0" w:space="0" w:color="auto"/>
        <w:left w:val="none" w:sz="0" w:space="0" w:color="auto"/>
        <w:bottom w:val="none" w:sz="0" w:space="0" w:color="auto"/>
        <w:right w:val="none" w:sz="0" w:space="0" w:color="auto"/>
      </w:divBdr>
    </w:div>
    <w:div w:id="1081680647">
      <w:bodyDiv w:val="1"/>
      <w:marLeft w:val="0"/>
      <w:marRight w:val="0"/>
      <w:marTop w:val="0"/>
      <w:marBottom w:val="0"/>
      <w:divBdr>
        <w:top w:val="none" w:sz="0" w:space="0" w:color="auto"/>
        <w:left w:val="none" w:sz="0" w:space="0" w:color="auto"/>
        <w:bottom w:val="none" w:sz="0" w:space="0" w:color="auto"/>
        <w:right w:val="none" w:sz="0" w:space="0" w:color="auto"/>
      </w:divBdr>
    </w:div>
    <w:div w:id="1100567292">
      <w:bodyDiv w:val="1"/>
      <w:marLeft w:val="0"/>
      <w:marRight w:val="0"/>
      <w:marTop w:val="0"/>
      <w:marBottom w:val="0"/>
      <w:divBdr>
        <w:top w:val="none" w:sz="0" w:space="0" w:color="auto"/>
        <w:left w:val="none" w:sz="0" w:space="0" w:color="auto"/>
        <w:bottom w:val="none" w:sz="0" w:space="0" w:color="auto"/>
        <w:right w:val="none" w:sz="0" w:space="0" w:color="auto"/>
      </w:divBdr>
    </w:div>
    <w:div w:id="1108499425">
      <w:bodyDiv w:val="1"/>
      <w:marLeft w:val="0"/>
      <w:marRight w:val="0"/>
      <w:marTop w:val="0"/>
      <w:marBottom w:val="0"/>
      <w:divBdr>
        <w:top w:val="none" w:sz="0" w:space="0" w:color="auto"/>
        <w:left w:val="none" w:sz="0" w:space="0" w:color="auto"/>
        <w:bottom w:val="none" w:sz="0" w:space="0" w:color="auto"/>
        <w:right w:val="none" w:sz="0" w:space="0" w:color="auto"/>
      </w:divBdr>
    </w:div>
    <w:div w:id="1127360361">
      <w:bodyDiv w:val="1"/>
      <w:marLeft w:val="0"/>
      <w:marRight w:val="0"/>
      <w:marTop w:val="0"/>
      <w:marBottom w:val="0"/>
      <w:divBdr>
        <w:top w:val="none" w:sz="0" w:space="0" w:color="auto"/>
        <w:left w:val="none" w:sz="0" w:space="0" w:color="auto"/>
        <w:bottom w:val="none" w:sz="0" w:space="0" w:color="auto"/>
        <w:right w:val="none" w:sz="0" w:space="0" w:color="auto"/>
      </w:divBdr>
    </w:div>
    <w:div w:id="1136028704">
      <w:bodyDiv w:val="1"/>
      <w:marLeft w:val="0"/>
      <w:marRight w:val="0"/>
      <w:marTop w:val="0"/>
      <w:marBottom w:val="0"/>
      <w:divBdr>
        <w:top w:val="none" w:sz="0" w:space="0" w:color="auto"/>
        <w:left w:val="none" w:sz="0" w:space="0" w:color="auto"/>
        <w:bottom w:val="none" w:sz="0" w:space="0" w:color="auto"/>
        <w:right w:val="none" w:sz="0" w:space="0" w:color="auto"/>
      </w:divBdr>
    </w:div>
    <w:div w:id="1149394905">
      <w:bodyDiv w:val="1"/>
      <w:marLeft w:val="0"/>
      <w:marRight w:val="0"/>
      <w:marTop w:val="0"/>
      <w:marBottom w:val="0"/>
      <w:divBdr>
        <w:top w:val="none" w:sz="0" w:space="0" w:color="auto"/>
        <w:left w:val="none" w:sz="0" w:space="0" w:color="auto"/>
        <w:bottom w:val="none" w:sz="0" w:space="0" w:color="auto"/>
        <w:right w:val="none" w:sz="0" w:space="0" w:color="auto"/>
      </w:divBdr>
    </w:div>
    <w:div w:id="1150711389">
      <w:bodyDiv w:val="1"/>
      <w:marLeft w:val="0"/>
      <w:marRight w:val="0"/>
      <w:marTop w:val="0"/>
      <w:marBottom w:val="0"/>
      <w:divBdr>
        <w:top w:val="none" w:sz="0" w:space="0" w:color="auto"/>
        <w:left w:val="none" w:sz="0" w:space="0" w:color="auto"/>
        <w:bottom w:val="none" w:sz="0" w:space="0" w:color="auto"/>
        <w:right w:val="none" w:sz="0" w:space="0" w:color="auto"/>
      </w:divBdr>
    </w:div>
    <w:div w:id="1151097731">
      <w:bodyDiv w:val="1"/>
      <w:marLeft w:val="0"/>
      <w:marRight w:val="0"/>
      <w:marTop w:val="0"/>
      <w:marBottom w:val="0"/>
      <w:divBdr>
        <w:top w:val="none" w:sz="0" w:space="0" w:color="auto"/>
        <w:left w:val="none" w:sz="0" w:space="0" w:color="auto"/>
        <w:bottom w:val="none" w:sz="0" w:space="0" w:color="auto"/>
        <w:right w:val="none" w:sz="0" w:space="0" w:color="auto"/>
      </w:divBdr>
    </w:div>
    <w:div w:id="1186797370">
      <w:bodyDiv w:val="1"/>
      <w:marLeft w:val="0"/>
      <w:marRight w:val="0"/>
      <w:marTop w:val="0"/>
      <w:marBottom w:val="0"/>
      <w:divBdr>
        <w:top w:val="none" w:sz="0" w:space="0" w:color="auto"/>
        <w:left w:val="none" w:sz="0" w:space="0" w:color="auto"/>
        <w:bottom w:val="none" w:sz="0" w:space="0" w:color="auto"/>
        <w:right w:val="none" w:sz="0" w:space="0" w:color="auto"/>
      </w:divBdr>
    </w:div>
    <w:div w:id="1203059979">
      <w:bodyDiv w:val="1"/>
      <w:marLeft w:val="0"/>
      <w:marRight w:val="0"/>
      <w:marTop w:val="0"/>
      <w:marBottom w:val="0"/>
      <w:divBdr>
        <w:top w:val="none" w:sz="0" w:space="0" w:color="auto"/>
        <w:left w:val="none" w:sz="0" w:space="0" w:color="auto"/>
        <w:bottom w:val="none" w:sz="0" w:space="0" w:color="auto"/>
        <w:right w:val="none" w:sz="0" w:space="0" w:color="auto"/>
      </w:divBdr>
    </w:div>
    <w:div w:id="1234391875">
      <w:bodyDiv w:val="1"/>
      <w:marLeft w:val="0"/>
      <w:marRight w:val="0"/>
      <w:marTop w:val="0"/>
      <w:marBottom w:val="0"/>
      <w:divBdr>
        <w:top w:val="none" w:sz="0" w:space="0" w:color="auto"/>
        <w:left w:val="none" w:sz="0" w:space="0" w:color="auto"/>
        <w:bottom w:val="none" w:sz="0" w:space="0" w:color="auto"/>
        <w:right w:val="none" w:sz="0" w:space="0" w:color="auto"/>
      </w:divBdr>
    </w:div>
    <w:div w:id="1253780734">
      <w:bodyDiv w:val="1"/>
      <w:marLeft w:val="0"/>
      <w:marRight w:val="0"/>
      <w:marTop w:val="0"/>
      <w:marBottom w:val="0"/>
      <w:divBdr>
        <w:top w:val="none" w:sz="0" w:space="0" w:color="auto"/>
        <w:left w:val="none" w:sz="0" w:space="0" w:color="auto"/>
        <w:bottom w:val="none" w:sz="0" w:space="0" w:color="auto"/>
        <w:right w:val="none" w:sz="0" w:space="0" w:color="auto"/>
      </w:divBdr>
    </w:div>
    <w:div w:id="1258638021">
      <w:bodyDiv w:val="1"/>
      <w:marLeft w:val="0"/>
      <w:marRight w:val="0"/>
      <w:marTop w:val="0"/>
      <w:marBottom w:val="0"/>
      <w:divBdr>
        <w:top w:val="none" w:sz="0" w:space="0" w:color="auto"/>
        <w:left w:val="none" w:sz="0" w:space="0" w:color="auto"/>
        <w:bottom w:val="none" w:sz="0" w:space="0" w:color="auto"/>
        <w:right w:val="none" w:sz="0" w:space="0" w:color="auto"/>
      </w:divBdr>
    </w:div>
    <w:div w:id="1274216544">
      <w:bodyDiv w:val="1"/>
      <w:marLeft w:val="0"/>
      <w:marRight w:val="0"/>
      <w:marTop w:val="0"/>
      <w:marBottom w:val="0"/>
      <w:divBdr>
        <w:top w:val="none" w:sz="0" w:space="0" w:color="auto"/>
        <w:left w:val="none" w:sz="0" w:space="0" w:color="auto"/>
        <w:bottom w:val="none" w:sz="0" w:space="0" w:color="auto"/>
        <w:right w:val="none" w:sz="0" w:space="0" w:color="auto"/>
      </w:divBdr>
    </w:div>
    <w:div w:id="1306735698">
      <w:bodyDiv w:val="1"/>
      <w:marLeft w:val="0"/>
      <w:marRight w:val="0"/>
      <w:marTop w:val="0"/>
      <w:marBottom w:val="0"/>
      <w:divBdr>
        <w:top w:val="none" w:sz="0" w:space="0" w:color="auto"/>
        <w:left w:val="none" w:sz="0" w:space="0" w:color="auto"/>
        <w:bottom w:val="none" w:sz="0" w:space="0" w:color="auto"/>
        <w:right w:val="none" w:sz="0" w:space="0" w:color="auto"/>
      </w:divBdr>
    </w:div>
    <w:div w:id="1314673502">
      <w:bodyDiv w:val="1"/>
      <w:marLeft w:val="0"/>
      <w:marRight w:val="0"/>
      <w:marTop w:val="0"/>
      <w:marBottom w:val="0"/>
      <w:divBdr>
        <w:top w:val="none" w:sz="0" w:space="0" w:color="auto"/>
        <w:left w:val="none" w:sz="0" w:space="0" w:color="auto"/>
        <w:bottom w:val="none" w:sz="0" w:space="0" w:color="auto"/>
        <w:right w:val="none" w:sz="0" w:space="0" w:color="auto"/>
      </w:divBdr>
    </w:div>
    <w:div w:id="1319723166">
      <w:bodyDiv w:val="1"/>
      <w:marLeft w:val="0"/>
      <w:marRight w:val="0"/>
      <w:marTop w:val="0"/>
      <w:marBottom w:val="0"/>
      <w:divBdr>
        <w:top w:val="none" w:sz="0" w:space="0" w:color="auto"/>
        <w:left w:val="none" w:sz="0" w:space="0" w:color="auto"/>
        <w:bottom w:val="none" w:sz="0" w:space="0" w:color="auto"/>
        <w:right w:val="none" w:sz="0" w:space="0" w:color="auto"/>
      </w:divBdr>
    </w:div>
    <w:div w:id="1331064191">
      <w:bodyDiv w:val="1"/>
      <w:marLeft w:val="0"/>
      <w:marRight w:val="0"/>
      <w:marTop w:val="0"/>
      <w:marBottom w:val="0"/>
      <w:divBdr>
        <w:top w:val="none" w:sz="0" w:space="0" w:color="auto"/>
        <w:left w:val="none" w:sz="0" w:space="0" w:color="auto"/>
        <w:bottom w:val="none" w:sz="0" w:space="0" w:color="auto"/>
        <w:right w:val="none" w:sz="0" w:space="0" w:color="auto"/>
      </w:divBdr>
    </w:div>
    <w:div w:id="1345786237">
      <w:bodyDiv w:val="1"/>
      <w:marLeft w:val="0"/>
      <w:marRight w:val="0"/>
      <w:marTop w:val="0"/>
      <w:marBottom w:val="0"/>
      <w:divBdr>
        <w:top w:val="none" w:sz="0" w:space="0" w:color="auto"/>
        <w:left w:val="none" w:sz="0" w:space="0" w:color="auto"/>
        <w:bottom w:val="none" w:sz="0" w:space="0" w:color="auto"/>
        <w:right w:val="none" w:sz="0" w:space="0" w:color="auto"/>
      </w:divBdr>
    </w:div>
    <w:div w:id="1346709342">
      <w:bodyDiv w:val="1"/>
      <w:marLeft w:val="0"/>
      <w:marRight w:val="0"/>
      <w:marTop w:val="0"/>
      <w:marBottom w:val="0"/>
      <w:divBdr>
        <w:top w:val="none" w:sz="0" w:space="0" w:color="auto"/>
        <w:left w:val="none" w:sz="0" w:space="0" w:color="auto"/>
        <w:bottom w:val="none" w:sz="0" w:space="0" w:color="auto"/>
        <w:right w:val="none" w:sz="0" w:space="0" w:color="auto"/>
      </w:divBdr>
    </w:div>
    <w:div w:id="1359432053">
      <w:bodyDiv w:val="1"/>
      <w:marLeft w:val="0"/>
      <w:marRight w:val="0"/>
      <w:marTop w:val="0"/>
      <w:marBottom w:val="0"/>
      <w:divBdr>
        <w:top w:val="none" w:sz="0" w:space="0" w:color="auto"/>
        <w:left w:val="none" w:sz="0" w:space="0" w:color="auto"/>
        <w:bottom w:val="none" w:sz="0" w:space="0" w:color="auto"/>
        <w:right w:val="none" w:sz="0" w:space="0" w:color="auto"/>
      </w:divBdr>
    </w:div>
    <w:div w:id="1367759428">
      <w:bodyDiv w:val="1"/>
      <w:marLeft w:val="0"/>
      <w:marRight w:val="0"/>
      <w:marTop w:val="0"/>
      <w:marBottom w:val="0"/>
      <w:divBdr>
        <w:top w:val="none" w:sz="0" w:space="0" w:color="auto"/>
        <w:left w:val="none" w:sz="0" w:space="0" w:color="auto"/>
        <w:bottom w:val="none" w:sz="0" w:space="0" w:color="auto"/>
        <w:right w:val="none" w:sz="0" w:space="0" w:color="auto"/>
      </w:divBdr>
    </w:div>
    <w:div w:id="1368874144">
      <w:bodyDiv w:val="1"/>
      <w:marLeft w:val="0"/>
      <w:marRight w:val="0"/>
      <w:marTop w:val="0"/>
      <w:marBottom w:val="0"/>
      <w:divBdr>
        <w:top w:val="none" w:sz="0" w:space="0" w:color="auto"/>
        <w:left w:val="none" w:sz="0" w:space="0" w:color="auto"/>
        <w:bottom w:val="none" w:sz="0" w:space="0" w:color="auto"/>
        <w:right w:val="none" w:sz="0" w:space="0" w:color="auto"/>
      </w:divBdr>
    </w:div>
    <w:div w:id="1385179526">
      <w:bodyDiv w:val="1"/>
      <w:marLeft w:val="0"/>
      <w:marRight w:val="0"/>
      <w:marTop w:val="0"/>
      <w:marBottom w:val="0"/>
      <w:divBdr>
        <w:top w:val="none" w:sz="0" w:space="0" w:color="auto"/>
        <w:left w:val="none" w:sz="0" w:space="0" w:color="auto"/>
        <w:bottom w:val="none" w:sz="0" w:space="0" w:color="auto"/>
        <w:right w:val="none" w:sz="0" w:space="0" w:color="auto"/>
      </w:divBdr>
    </w:div>
    <w:div w:id="1390151515">
      <w:bodyDiv w:val="1"/>
      <w:marLeft w:val="0"/>
      <w:marRight w:val="0"/>
      <w:marTop w:val="0"/>
      <w:marBottom w:val="0"/>
      <w:divBdr>
        <w:top w:val="none" w:sz="0" w:space="0" w:color="auto"/>
        <w:left w:val="none" w:sz="0" w:space="0" w:color="auto"/>
        <w:bottom w:val="none" w:sz="0" w:space="0" w:color="auto"/>
        <w:right w:val="none" w:sz="0" w:space="0" w:color="auto"/>
      </w:divBdr>
    </w:div>
    <w:div w:id="1436361527">
      <w:bodyDiv w:val="1"/>
      <w:marLeft w:val="0"/>
      <w:marRight w:val="0"/>
      <w:marTop w:val="0"/>
      <w:marBottom w:val="0"/>
      <w:divBdr>
        <w:top w:val="none" w:sz="0" w:space="0" w:color="auto"/>
        <w:left w:val="none" w:sz="0" w:space="0" w:color="auto"/>
        <w:bottom w:val="none" w:sz="0" w:space="0" w:color="auto"/>
        <w:right w:val="none" w:sz="0" w:space="0" w:color="auto"/>
      </w:divBdr>
    </w:div>
    <w:div w:id="1439988808">
      <w:bodyDiv w:val="1"/>
      <w:marLeft w:val="0"/>
      <w:marRight w:val="0"/>
      <w:marTop w:val="0"/>
      <w:marBottom w:val="0"/>
      <w:divBdr>
        <w:top w:val="none" w:sz="0" w:space="0" w:color="auto"/>
        <w:left w:val="none" w:sz="0" w:space="0" w:color="auto"/>
        <w:bottom w:val="none" w:sz="0" w:space="0" w:color="auto"/>
        <w:right w:val="none" w:sz="0" w:space="0" w:color="auto"/>
      </w:divBdr>
    </w:div>
    <w:div w:id="1449349425">
      <w:bodyDiv w:val="1"/>
      <w:marLeft w:val="0"/>
      <w:marRight w:val="0"/>
      <w:marTop w:val="0"/>
      <w:marBottom w:val="0"/>
      <w:divBdr>
        <w:top w:val="none" w:sz="0" w:space="0" w:color="auto"/>
        <w:left w:val="none" w:sz="0" w:space="0" w:color="auto"/>
        <w:bottom w:val="none" w:sz="0" w:space="0" w:color="auto"/>
        <w:right w:val="none" w:sz="0" w:space="0" w:color="auto"/>
      </w:divBdr>
    </w:div>
    <w:div w:id="1457020754">
      <w:bodyDiv w:val="1"/>
      <w:marLeft w:val="0"/>
      <w:marRight w:val="0"/>
      <w:marTop w:val="0"/>
      <w:marBottom w:val="0"/>
      <w:divBdr>
        <w:top w:val="none" w:sz="0" w:space="0" w:color="auto"/>
        <w:left w:val="none" w:sz="0" w:space="0" w:color="auto"/>
        <w:bottom w:val="none" w:sz="0" w:space="0" w:color="auto"/>
        <w:right w:val="none" w:sz="0" w:space="0" w:color="auto"/>
      </w:divBdr>
    </w:div>
    <w:div w:id="1463692746">
      <w:bodyDiv w:val="1"/>
      <w:marLeft w:val="0"/>
      <w:marRight w:val="0"/>
      <w:marTop w:val="0"/>
      <w:marBottom w:val="0"/>
      <w:divBdr>
        <w:top w:val="none" w:sz="0" w:space="0" w:color="auto"/>
        <w:left w:val="none" w:sz="0" w:space="0" w:color="auto"/>
        <w:bottom w:val="none" w:sz="0" w:space="0" w:color="auto"/>
        <w:right w:val="none" w:sz="0" w:space="0" w:color="auto"/>
      </w:divBdr>
    </w:div>
    <w:div w:id="1464695867">
      <w:bodyDiv w:val="1"/>
      <w:marLeft w:val="0"/>
      <w:marRight w:val="0"/>
      <w:marTop w:val="0"/>
      <w:marBottom w:val="0"/>
      <w:divBdr>
        <w:top w:val="none" w:sz="0" w:space="0" w:color="auto"/>
        <w:left w:val="none" w:sz="0" w:space="0" w:color="auto"/>
        <w:bottom w:val="none" w:sz="0" w:space="0" w:color="auto"/>
        <w:right w:val="none" w:sz="0" w:space="0" w:color="auto"/>
      </w:divBdr>
    </w:div>
    <w:div w:id="1480995752">
      <w:bodyDiv w:val="1"/>
      <w:marLeft w:val="0"/>
      <w:marRight w:val="0"/>
      <w:marTop w:val="0"/>
      <w:marBottom w:val="0"/>
      <w:divBdr>
        <w:top w:val="none" w:sz="0" w:space="0" w:color="auto"/>
        <w:left w:val="none" w:sz="0" w:space="0" w:color="auto"/>
        <w:bottom w:val="none" w:sz="0" w:space="0" w:color="auto"/>
        <w:right w:val="none" w:sz="0" w:space="0" w:color="auto"/>
      </w:divBdr>
    </w:div>
    <w:div w:id="1493833396">
      <w:bodyDiv w:val="1"/>
      <w:marLeft w:val="0"/>
      <w:marRight w:val="0"/>
      <w:marTop w:val="0"/>
      <w:marBottom w:val="0"/>
      <w:divBdr>
        <w:top w:val="none" w:sz="0" w:space="0" w:color="auto"/>
        <w:left w:val="none" w:sz="0" w:space="0" w:color="auto"/>
        <w:bottom w:val="none" w:sz="0" w:space="0" w:color="auto"/>
        <w:right w:val="none" w:sz="0" w:space="0" w:color="auto"/>
      </w:divBdr>
    </w:div>
    <w:div w:id="1509367734">
      <w:bodyDiv w:val="1"/>
      <w:marLeft w:val="0"/>
      <w:marRight w:val="0"/>
      <w:marTop w:val="0"/>
      <w:marBottom w:val="0"/>
      <w:divBdr>
        <w:top w:val="none" w:sz="0" w:space="0" w:color="auto"/>
        <w:left w:val="none" w:sz="0" w:space="0" w:color="auto"/>
        <w:bottom w:val="none" w:sz="0" w:space="0" w:color="auto"/>
        <w:right w:val="none" w:sz="0" w:space="0" w:color="auto"/>
      </w:divBdr>
      <w:divsChild>
        <w:div w:id="1986818378">
          <w:marLeft w:val="0"/>
          <w:marRight w:val="0"/>
          <w:marTop w:val="0"/>
          <w:marBottom w:val="0"/>
          <w:divBdr>
            <w:top w:val="none" w:sz="0" w:space="0" w:color="auto"/>
            <w:left w:val="none" w:sz="0" w:space="0" w:color="auto"/>
            <w:bottom w:val="none" w:sz="0" w:space="0" w:color="auto"/>
            <w:right w:val="none" w:sz="0" w:space="0" w:color="auto"/>
          </w:divBdr>
        </w:div>
      </w:divsChild>
    </w:div>
    <w:div w:id="1515804086">
      <w:bodyDiv w:val="1"/>
      <w:marLeft w:val="0"/>
      <w:marRight w:val="0"/>
      <w:marTop w:val="0"/>
      <w:marBottom w:val="0"/>
      <w:divBdr>
        <w:top w:val="none" w:sz="0" w:space="0" w:color="auto"/>
        <w:left w:val="none" w:sz="0" w:space="0" w:color="auto"/>
        <w:bottom w:val="none" w:sz="0" w:space="0" w:color="auto"/>
        <w:right w:val="none" w:sz="0" w:space="0" w:color="auto"/>
      </w:divBdr>
    </w:div>
    <w:div w:id="1534809818">
      <w:bodyDiv w:val="1"/>
      <w:marLeft w:val="0"/>
      <w:marRight w:val="0"/>
      <w:marTop w:val="0"/>
      <w:marBottom w:val="0"/>
      <w:divBdr>
        <w:top w:val="none" w:sz="0" w:space="0" w:color="auto"/>
        <w:left w:val="none" w:sz="0" w:space="0" w:color="auto"/>
        <w:bottom w:val="none" w:sz="0" w:space="0" w:color="auto"/>
        <w:right w:val="none" w:sz="0" w:space="0" w:color="auto"/>
      </w:divBdr>
    </w:div>
    <w:div w:id="1539663660">
      <w:bodyDiv w:val="1"/>
      <w:marLeft w:val="0"/>
      <w:marRight w:val="0"/>
      <w:marTop w:val="0"/>
      <w:marBottom w:val="0"/>
      <w:divBdr>
        <w:top w:val="none" w:sz="0" w:space="0" w:color="auto"/>
        <w:left w:val="none" w:sz="0" w:space="0" w:color="auto"/>
        <w:bottom w:val="none" w:sz="0" w:space="0" w:color="auto"/>
        <w:right w:val="none" w:sz="0" w:space="0" w:color="auto"/>
      </w:divBdr>
    </w:div>
    <w:div w:id="1556696141">
      <w:bodyDiv w:val="1"/>
      <w:marLeft w:val="0"/>
      <w:marRight w:val="0"/>
      <w:marTop w:val="0"/>
      <w:marBottom w:val="0"/>
      <w:divBdr>
        <w:top w:val="none" w:sz="0" w:space="0" w:color="auto"/>
        <w:left w:val="none" w:sz="0" w:space="0" w:color="auto"/>
        <w:bottom w:val="none" w:sz="0" w:space="0" w:color="auto"/>
        <w:right w:val="none" w:sz="0" w:space="0" w:color="auto"/>
      </w:divBdr>
    </w:div>
    <w:div w:id="1614511283">
      <w:bodyDiv w:val="1"/>
      <w:marLeft w:val="0"/>
      <w:marRight w:val="0"/>
      <w:marTop w:val="0"/>
      <w:marBottom w:val="0"/>
      <w:divBdr>
        <w:top w:val="none" w:sz="0" w:space="0" w:color="auto"/>
        <w:left w:val="none" w:sz="0" w:space="0" w:color="auto"/>
        <w:bottom w:val="none" w:sz="0" w:space="0" w:color="auto"/>
        <w:right w:val="none" w:sz="0" w:space="0" w:color="auto"/>
      </w:divBdr>
    </w:div>
    <w:div w:id="1636713531">
      <w:bodyDiv w:val="1"/>
      <w:marLeft w:val="0"/>
      <w:marRight w:val="0"/>
      <w:marTop w:val="0"/>
      <w:marBottom w:val="0"/>
      <w:divBdr>
        <w:top w:val="none" w:sz="0" w:space="0" w:color="auto"/>
        <w:left w:val="none" w:sz="0" w:space="0" w:color="auto"/>
        <w:bottom w:val="none" w:sz="0" w:space="0" w:color="auto"/>
        <w:right w:val="none" w:sz="0" w:space="0" w:color="auto"/>
      </w:divBdr>
    </w:div>
    <w:div w:id="1643609473">
      <w:bodyDiv w:val="1"/>
      <w:marLeft w:val="0"/>
      <w:marRight w:val="0"/>
      <w:marTop w:val="0"/>
      <w:marBottom w:val="0"/>
      <w:divBdr>
        <w:top w:val="none" w:sz="0" w:space="0" w:color="auto"/>
        <w:left w:val="none" w:sz="0" w:space="0" w:color="auto"/>
        <w:bottom w:val="none" w:sz="0" w:space="0" w:color="auto"/>
        <w:right w:val="none" w:sz="0" w:space="0" w:color="auto"/>
      </w:divBdr>
    </w:div>
    <w:div w:id="1645431869">
      <w:bodyDiv w:val="1"/>
      <w:marLeft w:val="0"/>
      <w:marRight w:val="0"/>
      <w:marTop w:val="0"/>
      <w:marBottom w:val="0"/>
      <w:divBdr>
        <w:top w:val="none" w:sz="0" w:space="0" w:color="auto"/>
        <w:left w:val="none" w:sz="0" w:space="0" w:color="auto"/>
        <w:bottom w:val="none" w:sz="0" w:space="0" w:color="auto"/>
        <w:right w:val="none" w:sz="0" w:space="0" w:color="auto"/>
      </w:divBdr>
    </w:div>
    <w:div w:id="1645544577">
      <w:bodyDiv w:val="1"/>
      <w:marLeft w:val="0"/>
      <w:marRight w:val="0"/>
      <w:marTop w:val="0"/>
      <w:marBottom w:val="0"/>
      <w:divBdr>
        <w:top w:val="none" w:sz="0" w:space="0" w:color="auto"/>
        <w:left w:val="none" w:sz="0" w:space="0" w:color="auto"/>
        <w:bottom w:val="none" w:sz="0" w:space="0" w:color="auto"/>
        <w:right w:val="none" w:sz="0" w:space="0" w:color="auto"/>
      </w:divBdr>
    </w:div>
    <w:div w:id="1648049092">
      <w:bodyDiv w:val="1"/>
      <w:marLeft w:val="0"/>
      <w:marRight w:val="0"/>
      <w:marTop w:val="0"/>
      <w:marBottom w:val="0"/>
      <w:divBdr>
        <w:top w:val="none" w:sz="0" w:space="0" w:color="auto"/>
        <w:left w:val="none" w:sz="0" w:space="0" w:color="auto"/>
        <w:bottom w:val="none" w:sz="0" w:space="0" w:color="auto"/>
        <w:right w:val="none" w:sz="0" w:space="0" w:color="auto"/>
      </w:divBdr>
      <w:divsChild>
        <w:div w:id="1307394125">
          <w:marLeft w:val="0"/>
          <w:marRight w:val="0"/>
          <w:marTop w:val="0"/>
          <w:marBottom w:val="0"/>
          <w:divBdr>
            <w:top w:val="none" w:sz="0" w:space="0" w:color="auto"/>
            <w:left w:val="none" w:sz="0" w:space="0" w:color="auto"/>
            <w:bottom w:val="none" w:sz="0" w:space="0" w:color="auto"/>
            <w:right w:val="none" w:sz="0" w:space="0" w:color="auto"/>
          </w:divBdr>
          <w:divsChild>
            <w:div w:id="965086674">
              <w:marLeft w:val="0"/>
              <w:marRight w:val="0"/>
              <w:marTop w:val="0"/>
              <w:marBottom w:val="0"/>
              <w:divBdr>
                <w:top w:val="none" w:sz="0" w:space="0" w:color="auto"/>
                <w:left w:val="none" w:sz="0" w:space="0" w:color="auto"/>
                <w:bottom w:val="none" w:sz="0" w:space="0" w:color="auto"/>
                <w:right w:val="none" w:sz="0" w:space="0" w:color="auto"/>
              </w:divBdr>
              <w:divsChild>
                <w:div w:id="1229225751">
                  <w:marLeft w:val="0"/>
                  <w:marRight w:val="0"/>
                  <w:marTop w:val="0"/>
                  <w:marBottom w:val="0"/>
                  <w:divBdr>
                    <w:top w:val="none" w:sz="0" w:space="0" w:color="auto"/>
                    <w:left w:val="none" w:sz="0" w:space="0" w:color="auto"/>
                    <w:bottom w:val="none" w:sz="0" w:space="0" w:color="auto"/>
                    <w:right w:val="none" w:sz="0" w:space="0" w:color="auto"/>
                  </w:divBdr>
                  <w:divsChild>
                    <w:div w:id="1618874097">
                      <w:marLeft w:val="0"/>
                      <w:marRight w:val="0"/>
                      <w:marTop w:val="0"/>
                      <w:marBottom w:val="0"/>
                      <w:divBdr>
                        <w:top w:val="none" w:sz="0" w:space="0" w:color="auto"/>
                        <w:left w:val="none" w:sz="0" w:space="0" w:color="auto"/>
                        <w:bottom w:val="none" w:sz="0" w:space="0" w:color="auto"/>
                        <w:right w:val="none" w:sz="0" w:space="0" w:color="auto"/>
                      </w:divBdr>
                      <w:divsChild>
                        <w:div w:id="1963806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3193824">
      <w:bodyDiv w:val="1"/>
      <w:marLeft w:val="0"/>
      <w:marRight w:val="0"/>
      <w:marTop w:val="0"/>
      <w:marBottom w:val="0"/>
      <w:divBdr>
        <w:top w:val="none" w:sz="0" w:space="0" w:color="auto"/>
        <w:left w:val="none" w:sz="0" w:space="0" w:color="auto"/>
        <w:bottom w:val="none" w:sz="0" w:space="0" w:color="auto"/>
        <w:right w:val="none" w:sz="0" w:space="0" w:color="auto"/>
      </w:divBdr>
    </w:div>
    <w:div w:id="1680741704">
      <w:bodyDiv w:val="1"/>
      <w:marLeft w:val="0"/>
      <w:marRight w:val="0"/>
      <w:marTop w:val="0"/>
      <w:marBottom w:val="0"/>
      <w:divBdr>
        <w:top w:val="none" w:sz="0" w:space="0" w:color="auto"/>
        <w:left w:val="none" w:sz="0" w:space="0" w:color="auto"/>
        <w:bottom w:val="none" w:sz="0" w:space="0" w:color="auto"/>
        <w:right w:val="none" w:sz="0" w:space="0" w:color="auto"/>
      </w:divBdr>
    </w:div>
    <w:div w:id="1682782096">
      <w:bodyDiv w:val="1"/>
      <w:marLeft w:val="0"/>
      <w:marRight w:val="0"/>
      <w:marTop w:val="0"/>
      <w:marBottom w:val="0"/>
      <w:divBdr>
        <w:top w:val="none" w:sz="0" w:space="0" w:color="auto"/>
        <w:left w:val="none" w:sz="0" w:space="0" w:color="auto"/>
        <w:bottom w:val="none" w:sz="0" w:space="0" w:color="auto"/>
        <w:right w:val="none" w:sz="0" w:space="0" w:color="auto"/>
      </w:divBdr>
    </w:div>
    <w:div w:id="1683438175">
      <w:bodyDiv w:val="1"/>
      <w:marLeft w:val="0"/>
      <w:marRight w:val="0"/>
      <w:marTop w:val="0"/>
      <w:marBottom w:val="0"/>
      <w:divBdr>
        <w:top w:val="none" w:sz="0" w:space="0" w:color="auto"/>
        <w:left w:val="none" w:sz="0" w:space="0" w:color="auto"/>
        <w:bottom w:val="none" w:sz="0" w:space="0" w:color="auto"/>
        <w:right w:val="none" w:sz="0" w:space="0" w:color="auto"/>
      </w:divBdr>
    </w:div>
    <w:div w:id="1684937206">
      <w:bodyDiv w:val="1"/>
      <w:marLeft w:val="0"/>
      <w:marRight w:val="0"/>
      <w:marTop w:val="0"/>
      <w:marBottom w:val="0"/>
      <w:divBdr>
        <w:top w:val="none" w:sz="0" w:space="0" w:color="auto"/>
        <w:left w:val="none" w:sz="0" w:space="0" w:color="auto"/>
        <w:bottom w:val="none" w:sz="0" w:space="0" w:color="auto"/>
        <w:right w:val="none" w:sz="0" w:space="0" w:color="auto"/>
      </w:divBdr>
    </w:div>
    <w:div w:id="1707945676">
      <w:bodyDiv w:val="1"/>
      <w:marLeft w:val="0"/>
      <w:marRight w:val="0"/>
      <w:marTop w:val="0"/>
      <w:marBottom w:val="0"/>
      <w:divBdr>
        <w:top w:val="none" w:sz="0" w:space="0" w:color="auto"/>
        <w:left w:val="none" w:sz="0" w:space="0" w:color="auto"/>
        <w:bottom w:val="none" w:sz="0" w:space="0" w:color="auto"/>
        <w:right w:val="none" w:sz="0" w:space="0" w:color="auto"/>
      </w:divBdr>
    </w:div>
    <w:div w:id="1719474390">
      <w:bodyDiv w:val="1"/>
      <w:marLeft w:val="0"/>
      <w:marRight w:val="0"/>
      <w:marTop w:val="0"/>
      <w:marBottom w:val="0"/>
      <w:divBdr>
        <w:top w:val="none" w:sz="0" w:space="0" w:color="auto"/>
        <w:left w:val="none" w:sz="0" w:space="0" w:color="auto"/>
        <w:bottom w:val="none" w:sz="0" w:space="0" w:color="auto"/>
        <w:right w:val="none" w:sz="0" w:space="0" w:color="auto"/>
      </w:divBdr>
    </w:div>
    <w:div w:id="1764762261">
      <w:bodyDiv w:val="1"/>
      <w:marLeft w:val="0"/>
      <w:marRight w:val="0"/>
      <w:marTop w:val="0"/>
      <w:marBottom w:val="0"/>
      <w:divBdr>
        <w:top w:val="none" w:sz="0" w:space="0" w:color="auto"/>
        <w:left w:val="none" w:sz="0" w:space="0" w:color="auto"/>
        <w:bottom w:val="none" w:sz="0" w:space="0" w:color="auto"/>
        <w:right w:val="none" w:sz="0" w:space="0" w:color="auto"/>
      </w:divBdr>
    </w:div>
    <w:div w:id="1771781806">
      <w:bodyDiv w:val="1"/>
      <w:marLeft w:val="0"/>
      <w:marRight w:val="0"/>
      <w:marTop w:val="0"/>
      <w:marBottom w:val="0"/>
      <w:divBdr>
        <w:top w:val="none" w:sz="0" w:space="0" w:color="auto"/>
        <w:left w:val="none" w:sz="0" w:space="0" w:color="auto"/>
        <w:bottom w:val="none" w:sz="0" w:space="0" w:color="auto"/>
        <w:right w:val="none" w:sz="0" w:space="0" w:color="auto"/>
      </w:divBdr>
    </w:div>
    <w:div w:id="1786851713">
      <w:bodyDiv w:val="1"/>
      <w:marLeft w:val="0"/>
      <w:marRight w:val="0"/>
      <w:marTop w:val="0"/>
      <w:marBottom w:val="0"/>
      <w:divBdr>
        <w:top w:val="none" w:sz="0" w:space="0" w:color="auto"/>
        <w:left w:val="none" w:sz="0" w:space="0" w:color="auto"/>
        <w:bottom w:val="none" w:sz="0" w:space="0" w:color="auto"/>
        <w:right w:val="none" w:sz="0" w:space="0" w:color="auto"/>
      </w:divBdr>
    </w:div>
    <w:div w:id="1794398307">
      <w:bodyDiv w:val="1"/>
      <w:marLeft w:val="0"/>
      <w:marRight w:val="0"/>
      <w:marTop w:val="0"/>
      <w:marBottom w:val="0"/>
      <w:divBdr>
        <w:top w:val="none" w:sz="0" w:space="0" w:color="auto"/>
        <w:left w:val="none" w:sz="0" w:space="0" w:color="auto"/>
        <w:bottom w:val="none" w:sz="0" w:space="0" w:color="auto"/>
        <w:right w:val="none" w:sz="0" w:space="0" w:color="auto"/>
      </w:divBdr>
    </w:div>
    <w:div w:id="1807627660">
      <w:bodyDiv w:val="1"/>
      <w:marLeft w:val="0"/>
      <w:marRight w:val="0"/>
      <w:marTop w:val="0"/>
      <w:marBottom w:val="0"/>
      <w:divBdr>
        <w:top w:val="none" w:sz="0" w:space="0" w:color="auto"/>
        <w:left w:val="none" w:sz="0" w:space="0" w:color="auto"/>
        <w:bottom w:val="none" w:sz="0" w:space="0" w:color="auto"/>
        <w:right w:val="none" w:sz="0" w:space="0" w:color="auto"/>
      </w:divBdr>
    </w:div>
    <w:div w:id="1808937024">
      <w:bodyDiv w:val="1"/>
      <w:marLeft w:val="0"/>
      <w:marRight w:val="0"/>
      <w:marTop w:val="0"/>
      <w:marBottom w:val="0"/>
      <w:divBdr>
        <w:top w:val="none" w:sz="0" w:space="0" w:color="auto"/>
        <w:left w:val="none" w:sz="0" w:space="0" w:color="auto"/>
        <w:bottom w:val="none" w:sz="0" w:space="0" w:color="auto"/>
        <w:right w:val="none" w:sz="0" w:space="0" w:color="auto"/>
      </w:divBdr>
    </w:div>
    <w:div w:id="1814524937">
      <w:bodyDiv w:val="1"/>
      <w:marLeft w:val="0"/>
      <w:marRight w:val="0"/>
      <w:marTop w:val="0"/>
      <w:marBottom w:val="0"/>
      <w:divBdr>
        <w:top w:val="none" w:sz="0" w:space="0" w:color="auto"/>
        <w:left w:val="none" w:sz="0" w:space="0" w:color="auto"/>
        <w:bottom w:val="none" w:sz="0" w:space="0" w:color="auto"/>
        <w:right w:val="none" w:sz="0" w:space="0" w:color="auto"/>
      </w:divBdr>
    </w:div>
    <w:div w:id="1818454265">
      <w:bodyDiv w:val="1"/>
      <w:marLeft w:val="0"/>
      <w:marRight w:val="0"/>
      <w:marTop w:val="0"/>
      <w:marBottom w:val="0"/>
      <w:divBdr>
        <w:top w:val="none" w:sz="0" w:space="0" w:color="auto"/>
        <w:left w:val="none" w:sz="0" w:space="0" w:color="auto"/>
        <w:bottom w:val="none" w:sz="0" w:space="0" w:color="auto"/>
        <w:right w:val="none" w:sz="0" w:space="0" w:color="auto"/>
      </w:divBdr>
    </w:div>
    <w:div w:id="1824271670">
      <w:bodyDiv w:val="1"/>
      <w:marLeft w:val="0"/>
      <w:marRight w:val="0"/>
      <w:marTop w:val="0"/>
      <w:marBottom w:val="0"/>
      <w:divBdr>
        <w:top w:val="none" w:sz="0" w:space="0" w:color="auto"/>
        <w:left w:val="none" w:sz="0" w:space="0" w:color="auto"/>
        <w:bottom w:val="none" w:sz="0" w:space="0" w:color="auto"/>
        <w:right w:val="none" w:sz="0" w:space="0" w:color="auto"/>
      </w:divBdr>
    </w:div>
    <w:div w:id="1869291019">
      <w:bodyDiv w:val="1"/>
      <w:marLeft w:val="0"/>
      <w:marRight w:val="0"/>
      <w:marTop w:val="0"/>
      <w:marBottom w:val="0"/>
      <w:divBdr>
        <w:top w:val="none" w:sz="0" w:space="0" w:color="auto"/>
        <w:left w:val="none" w:sz="0" w:space="0" w:color="auto"/>
        <w:bottom w:val="none" w:sz="0" w:space="0" w:color="auto"/>
        <w:right w:val="none" w:sz="0" w:space="0" w:color="auto"/>
      </w:divBdr>
    </w:div>
    <w:div w:id="1890994610">
      <w:bodyDiv w:val="1"/>
      <w:marLeft w:val="0"/>
      <w:marRight w:val="0"/>
      <w:marTop w:val="0"/>
      <w:marBottom w:val="0"/>
      <w:divBdr>
        <w:top w:val="none" w:sz="0" w:space="0" w:color="auto"/>
        <w:left w:val="none" w:sz="0" w:space="0" w:color="auto"/>
        <w:bottom w:val="none" w:sz="0" w:space="0" w:color="auto"/>
        <w:right w:val="none" w:sz="0" w:space="0" w:color="auto"/>
      </w:divBdr>
      <w:divsChild>
        <w:div w:id="91361264">
          <w:marLeft w:val="0"/>
          <w:marRight w:val="0"/>
          <w:marTop w:val="0"/>
          <w:marBottom w:val="0"/>
          <w:divBdr>
            <w:top w:val="none" w:sz="0" w:space="0" w:color="auto"/>
            <w:left w:val="none" w:sz="0" w:space="0" w:color="auto"/>
            <w:bottom w:val="none" w:sz="0" w:space="0" w:color="auto"/>
            <w:right w:val="none" w:sz="0" w:space="0" w:color="auto"/>
          </w:divBdr>
        </w:div>
        <w:div w:id="423187552">
          <w:marLeft w:val="0"/>
          <w:marRight w:val="0"/>
          <w:marTop w:val="0"/>
          <w:marBottom w:val="0"/>
          <w:divBdr>
            <w:top w:val="none" w:sz="0" w:space="0" w:color="auto"/>
            <w:left w:val="none" w:sz="0" w:space="0" w:color="auto"/>
            <w:bottom w:val="none" w:sz="0" w:space="0" w:color="auto"/>
            <w:right w:val="none" w:sz="0" w:space="0" w:color="auto"/>
          </w:divBdr>
        </w:div>
        <w:div w:id="1139877347">
          <w:marLeft w:val="0"/>
          <w:marRight w:val="0"/>
          <w:marTop w:val="0"/>
          <w:marBottom w:val="0"/>
          <w:divBdr>
            <w:top w:val="none" w:sz="0" w:space="0" w:color="auto"/>
            <w:left w:val="none" w:sz="0" w:space="0" w:color="auto"/>
            <w:bottom w:val="none" w:sz="0" w:space="0" w:color="auto"/>
            <w:right w:val="none" w:sz="0" w:space="0" w:color="auto"/>
          </w:divBdr>
        </w:div>
      </w:divsChild>
    </w:div>
    <w:div w:id="1897547652">
      <w:bodyDiv w:val="1"/>
      <w:marLeft w:val="0"/>
      <w:marRight w:val="0"/>
      <w:marTop w:val="0"/>
      <w:marBottom w:val="0"/>
      <w:divBdr>
        <w:top w:val="none" w:sz="0" w:space="0" w:color="auto"/>
        <w:left w:val="none" w:sz="0" w:space="0" w:color="auto"/>
        <w:bottom w:val="none" w:sz="0" w:space="0" w:color="auto"/>
        <w:right w:val="none" w:sz="0" w:space="0" w:color="auto"/>
      </w:divBdr>
    </w:div>
    <w:div w:id="1902786834">
      <w:bodyDiv w:val="1"/>
      <w:marLeft w:val="0"/>
      <w:marRight w:val="0"/>
      <w:marTop w:val="0"/>
      <w:marBottom w:val="0"/>
      <w:divBdr>
        <w:top w:val="none" w:sz="0" w:space="0" w:color="auto"/>
        <w:left w:val="none" w:sz="0" w:space="0" w:color="auto"/>
        <w:bottom w:val="none" w:sz="0" w:space="0" w:color="auto"/>
        <w:right w:val="none" w:sz="0" w:space="0" w:color="auto"/>
      </w:divBdr>
    </w:div>
    <w:div w:id="1910967026">
      <w:bodyDiv w:val="1"/>
      <w:marLeft w:val="0"/>
      <w:marRight w:val="0"/>
      <w:marTop w:val="0"/>
      <w:marBottom w:val="0"/>
      <w:divBdr>
        <w:top w:val="none" w:sz="0" w:space="0" w:color="auto"/>
        <w:left w:val="none" w:sz="0" w:space="0" w:color="auto"/>
        <w:bottom w:val="none" w:sz="0" w:space="0" w:color="auto"/>
        <w:right w:val="none" w:sz="0" w:space="0" w:color="auto"/>
      </w:divBdr>
    </w:div>
    <w:div w:id="1940290929">
      <w:bodyDiv w:val="1"/>
      <w:marLeft w:val="0"/>
      <w:marRight w:val="0"/>
      <w:marTop w:val="0"/>
      <w:marBottom w:val="0"/>
      <w:divBdr>
        <w:top w:val="none" w:sz="0" w:space="0" w:color="auto"/>
        <w:left w:val="none" w:sz="0" w:space="0" w:color="auto"/>
        <w:bottom w:val="none" w:sz="0" w:space="0" w:color="auto"/>
        <w:right w:val="none" w:sz="0" w:space="0" w:color="auto"/>
      </w:divBdr>
    </w:div>
    <w:div w:id="1949701007">
      <w:bodyDiv w:val="1"/>
      <w:marLeft w:val="0"/>
      <w:marRight w:val="0"/>
      <w:marTop w:val="0"/>
      <w:marBottom w:val="0"/>
      <w:divBdr>
        <w:top w:val="none" w:sz="0" w:space="0" w:color="auto"/>
        <w:left w:val="none" w:sz="0" w:space="0" w:color="auto"/>
        <w:bottom w:val="none" w:sz="0" w:space="0" w:color="auto"/>
        <w:right w:val="none" w:sz="0" w:space="0" w:color="auto"/>
      </w:divBdr>
    </w:div>
    <w:div w:id="1953318345">
      <w:bodyDiv w:val="1"/>
      <w:marLeft w:val="0"/>
      <w:marRight w:val="0"/>
      <w:marTop w:val="0"/>
      <w:marBottom w:val="0"/>
      <w:divBdr>
        <w:top w:val="none" w:sz="0" w:space="0" w:color="auto"/>
        <w:left w:val="none" w:sz="0" w:space="0" w:color="auto"/>
        <w:bottom w:val="none" w:sz="0" w:space="0" w:color="auto"/>
        <w:right w:val="none" w:sz="0" w:space="0" w:color="auto"/>
      </w:divBdr>
    </w:div>
    <w:div w:id="1977712430">
      <w:bodyDiv w:val="1"/>
      <w:marLeft w:val="0"/>
      <w:marRight w:val="0"/>
      <w:marTop w:val="0"/>
      <w:marBottom w:val="0"/>
      <w:divBdr>
        <w:top w:val="none" w:sz="0" w:space="0" w:color="auto"/>
        <w:left w:val="none" w:sz="0" w:space="0" w:color="auto"/>
        <w:bottom w:val="none" w:sz="0" w:space="0" w:color="auto"/>
        <w:right w:val="none" w:sz="0" w:space="0" w:color="auto"/>
      </w:divBdr>
    </w:div>
    <w:div w:id="1980501611">
      <w:bodyDiv w:val="1"/>
      <w:marLeft w:val="0"/>
      <w:marRight w:val="0"/>
      <w:marTop w:val="0"/>
      <w:marBottom w:val="0"/>
      <w:divBdr>
        <w:top w:val="none" w:sz="0" w:space="0" w:color="auto"/>
        <w:left w:val="none" w:sz="0" w:space="0" w:color="auto"/>
        <w:bottom w:val="none" w:sz="0" w:space="0" w:color="auto"/>
        <w:right w:val="none" w:sz="0" w:space="0" w:color="auto"/>
      </w:divBdr>
    </w:div>
    <w:div w:id="2006129865">
      <w:bodyDiv w:val="1"/>
      <w:marLeft w:val="0"/>
      <w:marRight w:val="0"/>
      <w:marTop w:val="0"/>
      <w:marBottom w:val="0"/>
      <w:divBdr>
        <w:top w:val="none" w:sz="0" w:space="0" w:color="auto"/>
        <w:left w:val="none" w:sz="0" w:space="0" w:color="auto"/>
        <w:bottom w:val="none" w:sz="0" w:space="0" w:color="auto"/>
        <w:right w:val="none" w:sz="0" w:space="0" w:color="auto"/>
      </w:divBdr>
    </w:div>
    <w:div w:id="2021466675">
      <w:bodyDiv w:val="1"/>
      <w:marLeft w:val="0"/>
      <w:marRight w:val="0"/>
      <w:marTop w:val="0"/>
      <w:marBottom w:val="0"/>
      <w:divBdr>
        <w:top w:val="none" w:sz="0" w:space="0" w:color="auto"/>
        <w:left w:val="none" w:sz="0" w:space="0" w:color="auto"/>
        <w:bottom w:val="none" w:sz="0" w:space="0" w:color="auto"/>
        <w:right w:val="none" w:sz="0" w:space="0" w:color="auto"/>
      </w:divBdr>
    </w:div>
    <w:div w:id="2049718167">
      <w:bodyDiv w:val="1"/>
      <w:marLeft w:val="0"/>
      <w:marRight w:val="0"/>
      <w:marTop w:val="0"/>
      <w:marBottom w:val="0"/>
      <w:divBdr>
        <w:top w:val="none" w:sz="0" w:space="0" w:color="auto"/>
        <w:left w:val="none" w:sz="0" w:space="0" w:color="auto"/>
        <w:bottom w:val="none" w:sz="0" w:space="0" w:color="auto"/>
        <w:right w:val="none" w:sz="0" w:space="0" w:color="auto"/>
      </w:divBdr>
    </w:div>
    <w:div w:id="2054691596">
      <w:bodyDiv w:val="1"/>
      <w:marLeft w:val="0"/>
      <w:marRight w:val="0"/>
      <w:marTop w:val="0"/>
      <w:marBottom w:val="0"/>
      <w:divBdr>
        <w:top w:val="none" w:sz="0" w:space="0" w:color="auto"/>
        <w:left w:val="none" w:sz="0" w:space="0" w:color="auto"/>
        <w:bottom w:val="none" w:sz="0" w:space="0" w:color="auto"/>
        <w:right w:val="none" w:sz="0" w:space="0" w:color="auto"/>
      </w:divBdr>
    </w:div>
    <w:div w:id="2077849004">
      <w:bodyDiv w:val="1"/>
      <w:marLeft w:val="0"/>
      <w:marRight w:val="0"/>
      <w:marTop w:val="0"/>
      <w:marBottom w:val="0"/>
      <w:divBdr>
        <w:top w:val="none" w:sz="0" w:space="0" w:color="auto"/>
        <w:left w:val="none" w:sz="0" w:space="0" w:color="auto"/>
        <w:bottom w:val="none" w:sz="0" w:space="0" w:color="auto"/>
        <w:right w:val="none" w:sz="0" w:space="0" w:color="auto"/>
      </w:divBdr>
      <w:divsChild>
        <w:div w:id="6254854">
          <w:marLeft w:val="0"/>
          <w:marRight w:val="0"/>
          <w:marTop w:val="0"/>
          <w:marBottom w:val="0"/>
          <w:divBdr>
            <w:top w:val="none" w:sz="0" w:space="0" w:color="auto"/>
            <w:left w:val="none" w:sz="0" w:space="0" w:color="auto"/>
            <w:bottom w:val="none" w:sz="0" w:space="0" w:color="auto"/>
            <w:right w:val="none" w:sz="0" w:space="0" w:color="auto"/>
          </w:divBdr>
          <w:divsChild>
            <w:div w:id="370618893">
              <w:marLeft w:val="0"/>
              <w:marRight w:val="0"/>
              <w:marTop w:val="0"/>
              <w:marBottom w:val="0"/>
              <w:divBdr>
                <w:top w:val="none" w:sz="0" w:space="0" w:color="auto"/>
                <w:left w:val="none" w:sz="0" w:space="0" w:color="auto"/>
                <w:bottom w:val="none" w:sz="0" w:space="0" w:color="auto"/>
                <w:right w:val="none" w:sz="0" w:space="0" w:color="auto"/>
              </w:divBdr>
            </w:div>
            <w:div w:id="414742436">
              <w:marLeft w:val="0"/>
              <w:marRight w:val="0"/>
              <w:marTop w:val="0"/>
              <w:marBottom w:val="0"/>
              <w:divBdr>
                <w:top w:val="none" w:sz="0" w:space="0" w:color="auto"/>
                <w:left w:val="none" w:sz="0" w:space="0" w:color="auto"/>
                <w:bottom w:val="none" w:sz="0" w:space="0" w:color="auto"/>
                <w:right w:val="none" w:sz="0" w:space="0" w:color="auto"/>
              </w:divBdr>
            </w:div>
            <w:div w:id="425153376">
              <w:marLeft w:val="0"/>
              <w:marRight w:val="0"/>
              <w:marTop w:val="0"/>
              <w:marBottom w:val="0"/>
              <w:divBdr>
                <w:top w:val="none" w:sz="0" w:space="0" w:color="auto"/>
                <w:left w:val="none" w:sz="0" w:space="0" w:color="auto"/>
                <w:bottom w:val="none" w:sz="0" w:space="0" w:color="auto"/>
                <w:right w:val="none" w:sz="0" w:space="0" w:color="auto"/>
              </w:divBdr>
            </w:div>
            <w:div w:id="1186867876">
              <w:marLeft w:val="0"/>
              <w:marRight w:val="0"/>
              <w:marTop w:val="0"/>
              <w:marBottom w:val="0"/>
              <w:divBdr>
                <w:top w:val="none" w:sz="0" w:space="0" w:color="auto"/>
                <w:left w:val="none" w:sz="0" w:space="0" w:color="auto"/>
                <w:bottom w:val="none" w:sz="0" w:space="0" w:color="auto"/>
                <w:right w:val="none" w:sz="0" w:space="0" w:color="auto"/>
              </w:divBdr>
            </w:div>
            <w:div w:id="1275600117">
              <w:marLeft w:val="0"/>
              <w:marRight w:val="0"/>
              <w:marTop w:val="0"/>
              <w:marBottom w:val="0"/>
              <w:divBdr>
                <w:top w:val="none" w:sz="0" w:space="0" w:color="auto"/>
                <w:left w:val="none" w:sz="0" w:space="0" w:color="auto"/>
                <w:bottom w:val="none" w:sz="0" w:space="0" w:color="auto"/>
                <w:right w:val="none" w:sz="0" w:space="0" w:color="auto"/>
              </w:divBdr>
            </w:div>
          </w:divsChild>
        </w:div>
        <w:div w:id="580337421">
          <w:marLeft w:val="0"/>
          <w:marRight w:val="0"/>
          <w:marTop w:val="0"/>
          <w:marBottom w:val="0"/>
          <w:divBdr>
            <w:top w:val="none" w:sz="0" w:space="0" w:color="auto"/>
            <w:left w:val="none" w:sz="0" w:space="0" w:color="auto"/>
            <w:bottom w:val="none" w:sz="0" w:space="0" w:color="auto"/>
            <w:right w:val="none" w:sz="0" w:space="0" w:color="auto"/>
          </w:divBdr>
        </w:div>
        <w:div w:id="745498437">
          <w:marLeft w:val="0"/>
          <w:marRight w:val="0"/>
          <w:marTop w:val="0"/>
          <w:marBottom w:val="0"/>
          <w:divBdr>
            <w:top w:val="none" w:sz="0" w:space="0" w:color="auto"/>
            <w:left w:val="none" w:sz="0" w:space="0" w:color="auto"/>
            <w:bottom w:val="none" w:sz="0" w:space="0" w:color="auto"/>
            <w:right w:val="none" w:sz="0" w:space="0" w:color="auto"/>
          </w:divBdr>
        </w:div>
        <w:div w:id="808982691">
          <w:marLeft w:val="0"/>
          <w:marRight w:val="0"/>
          <w:marTop w:val="0"/>
          <w:marBottom w:val="0"/>
          <w:divBdr>
            <w:top w:val="none" w:sz="0" w:space="0" w:color="auto"/>
            <w:left w:val="none" w:sz="0" w:space="0" w:color="auto"/>
            <w:bottom w:val="none" w:sz="0" w:space="0" w:color="auto"/>
            <w:right w:val="none" w:sz="0" w:space="0" w:color="auto"/>
          </w:divBdr>
          <w:divsChild>
            <w:div w:id="95098742">
              <w:marLeft w:val="0"/>
              <w:marRight w:val="0"/>
              <w:marTop w:val="0"/>
              <w:marBottom w:val="0"/>
              <w:divBdr>
                <w:top w:val="none" w:sz="0" w:space="0" w:color="auto"/>
                <w:left w:val="none" w:sz="0" w:space="0" w:color="auto"/>
                <w:bottom w:val="none" w:sz="0" w:space="0" w:color="auto"/>
                <w:right w:val="none" w:sz="0" w:space="0" w:color="auto"/>
              </w:divBdr>
            </w:div>
            <w:div w:id="108814886">
              <w:marLeft w:val="0"/>
              <w:marRight w:val="0"/>
              <w:marTop w:val="0"/>
              <w:marBottom w:val="0"/>
              <w:divBdr>
                <w:top w:val="none" w:sz="0" w:space="0" w:color="auto"/>
                <w:left w:val="none" w:sz="0" w:space="0" w:color="auto"/>
                <w:bottom w:val="none" w:sz="0" w:space="0" w:color="auto"/>
                <w:right w:val="none" w:sz="0" w:space="0" w:color="auto"/>
              </w:divBdr>
            </w:div>
            <w:div w:id="621809641">
              <w:marLeft w:val="0"/>
              <w:marRight w:val="0"/>
              <w:marTop w:val="0"/>
              <w:marBottom w:val="0"/>
              <w:divBdr>
                <w:top w:val="none" w:sz="0" w:space="0" w:color="auto"/>
                <w:left w:val="none" w:sz="0" w:space="0" w:color="auto"/>
                <w:bottom w:val="none" w:sz="0" w:space="0" w:color="auto"/>
                <w:right w:val="none" w:sz="0" w:space="0" w:color="auto"/>
              </w:divBdr>
            </w:div>
            <w:div w:id="794179303">
              <w:marLeft w:val="0"/>
              <w:marRight w:val="0"/>
              <w:marTop w:val="0"/>
              <w:marBottom w:val="0"/>
              <w:divBdr>
                <w:top w:val="none" w:sz="0" w:space="0" w:color="auto"/>
                <w:left w:val="none" w:sz="0" w:space="0" w:color="auto"/>
                <w:bottom w:val="none" w:sz="0" w:space="0" w:color="auto"/>
                <w:right w:val="none" w:sz="0" w:space="0" w:color="auto"/>
              </w:divBdr>
            </w:div>
            <w:div w:id="2069918519">
              <w:marLeft w:val="0"/>
              <w:marRight w:val="0"/>
              <w:marTop w:val="0"/>
              <w:marBottom w:val="0"/>
              <w:divBdr>
                <w:top w:val="none" w:sz="0" w:space="0" w:color="auto"/>
                <w:left w:val="none" w:sz="0" w:space="0" w:color="auto"/>
                <w:bottom w:val="none" w:sz="0" w:space="0" w:color="auto"/>
                <w:right w:val="none" w:sz="0" w:space="0" w:color="auto"/>
              </w:divBdr>
            </w:div>
          </w:divsChild>
        </w:div>
        <w:div w:id="918560264">
          <w:marLeft w:val="0"/>
          <w:marRight w:val="0"/>
          <w:marTop w:val="0"/>
          <w:marBottom w:val="0"/>
          <w:divBdr>
            <w:top w:val="none" w:sz="0" w:space="0" w:color="auto"/>
            <w:left w:val="none" w:sz="0" w:space="0" w:color="auto"/>
            <w:bottom w:val="none" w:sz="0" w:space="0" w:color="auto"/>
            <w:right w:val="none" w:sz="0" w:space="0" w:color="auto"/>
          </w:divBdr>
          <w:divsChild>
            <w:div w:id="298071643">
              <w:marLeft w:val="0"/>
              <w:marRight w:val="0"/>
              <w:marTop w:val="0"/>
              <w:marBottom w:val="0"/>
              <w:divBdr>
                <w:top w:val="none" w:sz="0" w:space="0" w:color="auto"/>
                <w:left w:val="none" w:sz="0" w:space="0" w:color="auto"/>
                <w:bottom w:val="none" w:sz="0" w:space="0" w:color="auto"/>
                <w:right w:val="none" w:sz="0" w:space="0" w:color="auto"/>
              </w:divBdr>
            </w:div>
            <w:div w:id="963317236">
              <w:marLeft w:val="0"/>
              <w:marRight w:val="0"/>
              <w:marTop w:val="0"/>
              <w:marBottom w:val="0"/>
              <w:divBdr>
                <w:top w:val="none" w:sz="0" w:space="0" w:color="auto"/>
                <w:left w:val="none" w:sz="0" w:space="0" w:color="auto"/>
                <w:bottom w:val="none" w:sz="0" w:space="0" w:color="auto"/>
                <w:right w:val="none" w:sz="0" w:space="0" w:color="auto"/>
              </w:divBdr>
            </w:div>
            <w:div w:id="1870483306">
              <w:marLeft w:val="0"/>
              <w:marRight w:val="0"/>
              <w:marTop w:val="0"/>
              <w:marBottom w:val="0"/>
              <w:divBdr>
                <w:top w:val="none" w:sz="0" w:space="0" w:color="auto"/>
                <w:left w:val="none" w:sz="0" w:space="0" w:color="auto"/>
                <w:bottom w:val="none" w:sz="0" w:space="0" w:color="auto"/>
                <w:right w:val="none" w:sz="0" w:space="0" w:color="auto"/>
              </w:divBdr>
            </w:div>
            <w:div w:id="1922522299">
              <w:marLeft w:val="0"/>
              <w:marRight w:val="0"/>
              <w:marTop w:val="0"/>
              <w:marBottom w:val="0"/>
              <w:divBdr>
                <w:top w:val="none" w:sz="0" w:space="0" w:color="auto"/>
                <w:left w:val="none" w:sz="0" w:space="0" w:color="auto"/>
                <w:bottom w:val="none" w:sz="0" w:space="0" w:color="auto"/>
                <w:right w:val="none" w:sz="0" w:space="0" w:color="auto"/>
              </w:divBdr>
            </w:div>
            <w:div w:id="2082290215">
              <w:marLeft w:val="0"/>
              <w:marRight w:val="0"/>
              <w:marTop w:val="0"/>
              <w:marBottom w:val="0"/>
              <w:divBdr>
                <w:top w:val="none" w:sz="0" w:space="0" w:color="auto"/>
                <w:left w:val="none" w:sz="0" w:space="0" w:color="auto"/>
                <w:bottom w:val="none" w:sz="0" w:space="0" w:color="auto"/>
                <w:right w:val="none" w:sz="0" w:space="0" w:color="auto"/>
              </w:divBdr>
            </w:div>
          </w:divsChild>
        </w:div>
        <w:div w:id="1995602042">
          <w:marLeft w:val="0"/>
          <w:marRight w:val="0"/>
          <w:marTop w:val="0"/>
          <w:marBottom w:val="0"/>
          <w:divBdr>
            <w:top w:val="none" w:sz="0" w:space="0" w:color="auto"/>
            <w:left w:val="none" w:sz="0" w:space="0" w:color="auto"/>
            <w:bottom w:val="none" w:sz="0" w:space="0" w:color="auto"/>
            <w:right w:val="none" w:sz="0" w:space="0" w:color="auto"/>
          </w:divBdr>
        </w:div>
        <w:div w:id="2142308266">
          <w:marLeft w:val="0"/>
          <w:marRight w:val="0"/>
          <w:marTop w:val="0"/>
          <w:marBottom w:val="0"/>
          <w:divBdr>
            <w:top w:val="none" w:sz="0" w:space="0" w:color="auto"/>
            <w:left w:val="none" w:sz="0" w:space="0" w:color="auto"/>
            <w:bottom w:val="none" w:sz="0" w:space="0" w:color="auto"/>
            <w:right w:val="none" w:sz="0" w:space="0" w:color="auto"/>
          </w:divBdr>
        </w:div>
      </w:divsChild>
    </w:div>
    <w:div w:id="2086994260">
      <w:bodyDiv w:val="1"/>
      <w:marLeft w:val="0"/>
      <w:marRight w:val="0"/>
      <w:marTop w:val="0"/>
      <w:marBottom w:val="0"/>
      <w:divBdr>
        <w:top w:val="none" w:sz="0" w:space="0" w:color="auto"/>
        <w:left w:val="none" w:sz="0" w:space="0" w:color="auto"/>
        <w:bottom w:val="none" w:sz="0" w:space="0" w:color="auto"/>
        <w:right w:val="none" w:sz="0" w:space="0" w:color="auto"/>
      </w:divBdr>
    </w:div>
    <w:div w:id="2088305225">
      <w:bodyDiv w:val="1"/>
      <w:marLeft w:val="0"/>
      <w:marRight w:val="0"/>
      <w:marTop w:val="0"/>
      <w:marBottom w:val="0"/>
      <w:divBdr>
        <w:top w:val="none" w:sz="0" w:space="0" w:color="auto"/>
        <w:left w:val="none" w:sz="0" w:space="0" w:color="auto"/>
        <w:bottom w:val="none" w:sz="0" w:space="0" w:color="auto"/>
        <w:right w:val="none" w:sz="0" w:space="0" w:color="auto"/>
      </w:divBdr>
    </w:div>
    <w:div w:id="2098280200">
      <w:bodyDiv w:val="1"/>
      <w:marLeft w:val="0"/>
      <w:marRight w:val="0"/>
      <w:marTop w:val="0"/>
      <w:marBottom w:val="0"/>
      <w:divBdr>
        <w:top w:val="none" w:sz="0" w:space="0" w:color="auto"/>
        <w:left w:val="none" w:sz="0" w:space="0" w:color="auto"/>
        <w:bottom w:val="none" w:sz="0" w:space="0" w:color="auto"/>
        <w:right w:val="none" w:sz="0" w:space="0" w:color="auto"/>
      </w:divBdr>
    </w:div>
    <w:div w:id="2103642863">
      <w:bodyDiv w:val="1"/>
      <w:marLeft w:val="0"/>
      <w:marRight w:val="0"/>
      <w:marTop w:val="0"/>
      <w:marBottom w:val="0"/>
      <w:divBdr>
        <w:top w:val="none" w:sz="0" w:space="0" w:color="auto"/>
        <w:left w:val="none" w:sz="0" w:space="0" w:color="auto"/>
        <w:bottom w:val="none" w:sz="0" w:space="0" w:color="auto"/>
        <w:right w:val="none" w:sz="0" w:space="0" w:color="auto"/>
      </w:divBdr>
    </w:div>
    <w:div w:id="2110931706">
      <w:bodyDiv w:val="1"/>
      <w:marLeft w:val="0"/>
      <w:marRight w:val="0"/>
      <w:marTop w:val="0"/>
      <w:marBottom w:val="0"/>
      <w:divBdr>
        <w:top w:val="none" w:sz="0" w:space="0" w:color="auto"/>
        <w:left w:val="none" w:sz="0" w:space="0" w:color="auto"/>
        <w:bottom w:val="none" w:sz="0" w:space="0" w:color="auto"/>
        <w:right w:val="none" w:sz="0" w:space="0" w:color="auto"/>
      </w:divBdr>
    </w:div>
    <w:div w:id="2118942459">
      <w:bodyDiv w:val="1"/>
      <w:marLeft w:val="0"/>
      <w:marRight w:val="0"/>
      <w:marTop w:val="0"/>
      <w:marBottom w:val="0"/>
      <w:divBdr>
        <w:top w:val="none" w:sz="0" w:space="0" w:color="auto"/>
        <w:left w:val="none" w:sz="0" w:space="0" w:color="auto"/>
        <w:bottom w:val="none" w:sz="0" w:space="0" w:color="auto"/>
        <w:right w:val="none" w:sz="0" w:space="0" w:color="auto"/>
      </w:divBdr>
    </w:div>
    <w:div w:id="2128159795">
      <w:bodyDiv w:val="1"/>
      <w:marLeft w:val="0"/>
      <w:marRight w:val="0"/>
      <w:marTop w:val="0"/>
      <w:marBottom w:val="0"/>
      <w:divBdr>
        <w:top w:val="none" w:sz="0" w:space="0" w:color="auto"/>
        <w:left w:val="none" w:sz="0" w:space="0" w:color="auto"/>
        <w:bottom w:val="none" w:sz="0" w:space="0" w:color="auto"/>
        <w:right w:val="none" w:sz="0" w:space="0" w:color="auto"/>
      </w:divBdr>
    </w:div>
    <w:div w:id="2140881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21" Type="http://schemas.openxmlformats.org/officeDocument/2006/relationships/image" Target="media/image8.png"/><Relationship Id="rId42" Type="http://schemas.openxmlformats.org/officeDocument/2006/relationships/image" Target="media/image20.emf"/><Relationship Id="rId47" Type="http://schemas.openxmlformats.org/officeDocument/2006/relationships/package" Target="embeddings/Microsoft_Excel_Worksheet3.xlsx"/><Relationship Id="rId63" Type="http://schemas.openxmlformats.org/officeDocument/2006/relationships/oleObject" Target="embeddings/oleObject8.bin"/><Relationship Id="rId68" Type="http://schemas.openxmlformats.org/officeDocument/2006/relationships/image" Target="media/image33.emf"/><Relationship Id="rId2" Type="http://schemas.openxmlformats.org/officeDocument/2006/relationships/customXml" Target="../customXml/item2.xml"/><Relationship Id="rId16" Type="http://schemas.openxmlformats.org/officeDocument/2006/relationships/hyperlink" Target="https://www.poder-judicial.go.cr/planificacion/index.php/proyeccion-institucional/reformalaboral/file/1019-1488-pla-2017-tribunal-de-apelaciones-alajuela" TargetMode="External"/><Relationship Id="rId29" Type="http://schemas.openxmlformats.org/officeDocument/2006/relationships/package" Target="embeddings/Microsoft_Word_Document1.docx"/><Relationship Id="rId11" Type="http://schemas.openxmlformats.org/officeDocument/2006/relationships/image" Target="media/image1.jpg"/><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oleObject" Target="embeddings/oleObject3.bin"/><Relationship Id="rId40" Type="http://schemas.openxmlformats.org/officeDocument/2006/relationships/image" Target="media/image19.emf"/><Relationship Id="rId45" Type="http://schemas.openxmlformats.org/officeDocument/2006/relationships/package" Target="embeddings/Microsoft_Excel_Worksheet.xlsx"/><Relationship Id="rId53" Type="http://schemas.openxmlformats.org/officeDocument/2006/relationships/package" Target="embeddings/Microsoft_Excel_Worksheet6.xlsx"/><Relationship Id="rId58" Type="http://schemas.openxmlformats.org/officeDocument/2006/relationships/image" Target="media/image28.emf"/><Relationship Id="rId66" Type="http://schemas.openxmlformats.org/officeDocument/2006/relationships/image" Target="media/image32.emf"/><Relationship Id="rId74"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oleObject" Target="embeddings/oleObject7.bin"/><Relationship Id="rId19" Type="http://schemas.openxmlformats.org/officeDocument/2006/relationships/image" Target="media/image7.jpeg"/><Relationship Id="rId14" Type="http://schemas.openxmlformats.org/officeDocument/2006/relationships/header" Target="header1.xml"/><Relationship Id="rId22" Type="http://schemas.openxmlformats.org/officeDocument/2006/relationships/image" Target="media/image9.png"/><Relationship Id="rId27" Type="http://schemas.openxmlformats.org/officeDocument/2006/relationships/oleObject" Target="embeddings/Microsoft_Word_97_-_2003_Document.doc"/><Relationship Id="rId30" Type="http://schemas.openxmlformats.org/officeDocument/2006/relationships/image" Target="media/image14.emf"/><Relationship Id="rId35" Type="http://schemas.openxmlformats.org/officeDocument/2006/relationships/oleObject" Target="embeddings/oleObject2.bin"/><Relationship Id="rId43" Type="http://schemas.openxmlformats.org/officeDocument/2006/relationships/oleObject" Target="embeddings/oleObject5.bin"/><Relationship Id="rId48" Type="http://schemas.openxmlformats.org/officeDocument/2006/relationships/image" Target="media/image23.emf"/><Relationship Id="rId56" Type="http://schemas.openxmlformats.org/officeDocument/2006/relationships/image" Target="media/image27.emf"/><Relationship Id="rId64" Type="http://schemas.openxmlformats.org/officeDocument/2006/relationships/image" Target="media/image31.emf"/><Relationship Id="rId69" Type="http://schemas.openxmlformats.org/officeDocument/2006/relationships/oleObject" Target="embeddings/oleObject11.bin"/><Relationship Id="rId8" Type="http://schemas.openxmlformats.org/officeDocument/2006/relationships/webSettings" Target="webSettings.xml"/><Relationship Id="rId51" Type="http://schemas.openxmlformats.org/officeDocument/2006/relationships/package" Target="embeddings/Microsoft_Excel_Worksheet5.xlsx"/><Relationship Id="rId72"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package" Target="embeddings/Microsoft_Word_Document.docx"/><Relationship Id="rId33" Type="http://schemas.openxmlformats.org/officeDocument/2006/relationships/oleObject" Target="embeddings/Microsoft_Word_97_-_2003_Document2.doc"/><Relationship Id="rId38" Type="http://schemas.openxmlformats.org/officeDocument/2006/relationships/image" Target="media/image18.emf"/><Relationship Id="rId46" Type="http://schemas.openxmlformats.org/officeDocument/2006/relationships/image" Target="media/image22.emf"/><Relationship Id="rId59" Type="http://schemas.openxmlformats.org/officeDocument/2006/relationships/oleObject" Target="embeddings/oleObject6.bin"/><Relationship Id="rId67" Type="http://schemas.openxmlformats.org/officeDocument/2006/relationships/oleObject" Target="embeddings/oleObject10.bin"/><Relationship Id="rId20" Type="http://schemas.openxmlformats.org/officeDocument/2006/relationships/image" Target="cid:image001.jpg@01D71502.319A4270" TargetMode="External"/><Relationship Id="rId41" Type="http://schemas.openxmlformats.org/officeDocument/2006/relationships/oleObject" Target="embeddings/oleObject4.bin"/><Relationship Id="rId54" Type="http://schemas.openxmlformats.org/officeDocument/2006/relationships/image" Target="media/image26.emf"/><Relationship Id="rId62" Type="http://schemas.openxmlformats.org/officeDocument/2006/relationships/image" Target="media/image30.emf"/><Relationship Id="rId70" Type="http://schemas.openxmlformats.org/officeDocument/2006/relationships/header" Target="header2.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3.emf"/><Relationship Id="rId36" Type="http://schemas.openxmlformats.org/officeDocument/2006/relationships/image" Target="media/image17.emf"/><Relationship Id="rId49" Type="http://schemas.openxmlformats.org/officeDocument/2006/relationships/package" Target="embeddings/Microsoft_Excel_Worksheet4.xlsx"/><Relationship Id="rId57" Type="http://schemas.openxmlformats.org/officeDocument/2006/relationships/package" Target="embeddings/Microsoft_Excel_Worksheet8.xlsx"/><Relationship Id="rId10" Type="http://schemas.openxmlformats.org/officeDocument/2006/relationships/endnotes" Target="endnotes.xml"/><Relationship Id="rId31" Type="http://schemas.openxmlformats.org/officeDocument/2006/relationships/oleObject" Target="embeddings/Microsoft_Word_97_-_2003_Document1.doc"/><Relationship Id="rId44" Type="http://schemas.openxmlformats.org/officeDocument/2006/relationships/image" Target="media/image21.emf"/><Relationship Id="rId52" Type="http://schemas.openxmlformats.org/officeDocument/2006/relationships/image" Target="media/image25.emf"/><Relationship Id="rId60" Type="http://schemas.openxmlformats.org/officeDocument/2006/relationships/image" Target="media/image29.emf"/><Relationship Id="rId65" Type="http://schemas.openxmlformats.org/officeDocument/2006/relationships/oleObject" Target="embeddings/oleObject9.bin"/><Relationship Id="rId73"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package" Target="embeddings/Microsoft_Word_Document2.docx"/><Relationship Id="rId34" Type="http://schemas.openxmlformats.org/officeDocument/2006/relationships/image" Target="media/image16.emf"/><Relationship Id="rId50" Type="http://schemas.openxmlformats.org/officeDocument/2006/relationships/image" Target="media/image24.emf"/><Relationship Id="rId55" Type="http://schemas.openxmlformats.org/officeDocument/2006/relationships/package" Target="embeddings/Microsoft_Excel_Worksheet7.xlsx"/><Relationship Id="rId7" Type="http://schemas.openxmlformats.org/officeDocument/2006/relationships/settings" Target="settings.xml"/><Relationship Id="rId71" Type="http://schemas.openxmlformats.org/officeDocument/2006/relationships/header" Target="header3.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image" Target="media/image4.png"/></Relationships>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431ED3FA76E7C4DB5175EF15D43027B" ma:contentTypeVersion="13" ma:contentTypeDescription="Crear nuevo documento." ma:contentTypeScope="" ma:versionID="fcf499c232d755af3a2e1eacf35cca2f">
  <xsd:schema xmlns:xsd="http://www.w3.org/2001/XMLSchema" xmlns:xs="http://www.w3.org/2001/XMLSchema" xmlns:p="http://schemas.microsoft.com/office/2006/metadata/properties" xmlns:ns3="b459dc63-b842-4403-90ef-cd689c798343" xmlns:ns4="48988f96-87e8-440e-b7b4-44c598de8263" targetNamespace="http://schemas.microsoft.com/office/2006/metadata/properties" ma:root="true" ma:fieldsID="56223d1b40242392963dac669ab431fa" ns3:_="" ns4:_="">
    <xsd:import namespace="b459dc63-b842-4403-90ef-cd689c798343"/>
    <xsd:import namespace="48988f96-87e8-440e-b7b4-44c598de8263"/>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ServiceLocatio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459dc63-b842-4403-90ef-cd689c7983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8988f96-87e8-440e-b7b4-44c598de8263" elementFormDefault="qualified">
    <xsd:import namespace="http://schemas.microsoft.com/office/2006/documentManagement/types"/>
    <xsd:import namespace="http://schemas.microsoft.com/office/infopath/2007/PartnerControls"/>
    <xsd:element name="SharedWithUsers" ma:index="1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talles de uso compartido" ma:internalName="SharedWithDetails" ma:readOnly="true">
      <xsd:simpleType>
        <xsd:restriction base="dms:Note">
          <xsd:maxLength value="255"/>
        </xsd:restriction>
      </xsd:simpleType>
    </xsd:element>
    <xsd:element name="SharingHintHash" ma:index="20"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7B6854F-8082-408A-9C78-306E10DD39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459dc63-b842-4403-90ef-cd689c798343"/>
    <ds:schemaRef ds:uri="48988f96-87e8-440e-b7b4-44c598de82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FF1CF0E-5167-42E4-BB4F-45FADD84E8A2}">
  <ds:schemaRefs>
    <ds:schemaRef ds:uri="http://schemas.microsoft.com/sharepoint/v3/contenttype/forms"/>
  </ds:schemaRefs>
</ds:datastoreItem>
</file>

<file path=customXml/itemProps3.xml><?xml version="1.0" encoding="utf-8"?>
<ds:datastoreItem xmlns:ds="http://schemas.openxmlformats.org/officeDocument/2006/customXml" ds:itemID="{F5092DF8-52A7-4D43-9633-6A6FBD5C5706}">
  <ds:schemaRefs>
    <ds:schemaRef ds:uri="http://schemas.openxmlformats.org/officeDocument/2006/bibliography"/>
  </ds:schemaRefs>
</ds:datastoreItem>
</file>

<file path=customXml/itemProps4.xml><?xml version="1.0" encoding="utf-8"?>
<ds:datastoreItem xmlns:ds="http://schemas.openxmlformats.org/officeDocument/2006/customXml" ds:itemID="{629599F3-589E-4AC6-98C7-973AE8500A8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21414</Words>
  <Characters>117777</Characters>
  <Application>Microsoft Office Word</Application>
  <DocSecurity>4</DocSecurity>
  <Lines>981</Lines>
  <Paragraphs>277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138914</CharactersWithSpaces>
  <SharedDoc>false</SharedDoc>
  <HLinks>
    <vt:vector size="12" baseType="variant">
      <vt:variant>
        <vt:i4>4718678</vt:i4>
      </vt:variant>
      <vt:variant>
        <vt:i4>42</vt:i4>
      </vt:variant>
      <vt:variant>
        <vt:i4>0</vt:i4>
      </vt:variant>
      <vt:variant>
        <vt:i4>5</vt:i4>
      </vt:variant>
      <vt:variant>
        <vt:lpwstr>https://www.poder-judicial.go.cr/planificacion/index.php/proyeccion-institucional/reformalaboral/file/1019-1488-pla-2017-tribunal-de-apelaciones-alajuela</vt:lpwstr>
      </vt:variant>
      <vt:variant>
        <vt:lpwstr/>
      </vt:variant>
      <vt:variant>
        <vt:i4>6094966</vt:i4>
      </vt:variant>
      <vt:variant>
        <vt:i4>0</vt:i4>
      </vt:variant>
      <vt:variant>
        <vt:i4>0</vt:i4>
      </vt:variant>
      <vt:variant>
        <vt:i4>5</vt:i4>
      </vt:variant>
      <vt:variant>
        <vt:lpwstr>mailto:planificacion@poder-judicial.go.cr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Alvarado Ruiz</dc:creator>
  <cp:keywords/>
  <dc:description/>
  <cp:lastModifiedBy>Jorge Barquero Umaña</cp:lastModifiedBy>
  <cp:revision>2</cp:revision>
  <dcterms:created xsi:type="dcterms:W3CDTF">2021-12-13T21:48:00Z</dcterms:created>
  <dcterms:modified xsi:type="dcterms:W3CDTF">2021-12-13T21:48:00Z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0x010100C431ED3FA76E7C4DB5175EF15D43027B</vt:lpwstr>
  </property>
</Properties>
</file>